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8F20" w14:textId="62D3F06E" w:rsidR="007B4908" w:rsidRDefault="007B4908"/>
    <w:sdt>
      <w:sdtPr>
        <w:id w:val="-1674488091"/>
        <w:docPartObj>
          <w:docPartGallery w:val="Cover Pages"/>
          <w:docPartUnique/>
        </w:docPartObj>
      </w:sdtPr>
      <w:sdtEndPr/>
      <w:sdtContent>
        <w:p w14:paraId="3D47EDCD" w14:textId="714764D1" w:rsidR="009F3E53" w:rsidRDefault="009F3E53"/>
        <w:p w14:paraId="367900C5" w14:textId="03ADE5DB" w:rsidR="009F3E53" w:rsidRDefault="00A64380">
          <w:r>
            <w:rPr>
              <w:noProof/>
            </w:rPr>
            <mc:AlternateContent>
              <mc:Choice Requires="wps">
                <w:drawing>
                  <wp:anchor distT="0" distB="0" distL="114300" distR="114300" simplePos="0" relativeHeight="251659264" behindDoc="0" locked="0" layoutInCell="1" allowOverlap="1" wp14:anchorId="417FABE3" wp14:editId="242C7F17">
                    <wp:simplePos x="0" y="0"/>
                    <wp:positionH relativeFrom="column">
                      <wp:posOffset>-49861</wp:posOffset>
                    </wp:positionH>
                    <wp:positionV relativeFrom="paragraph">
                      <wp:posOffset>805842</wp:posOffset>
                    </wp:positionV>
                    <wp:extent cx="5600700" cy="2228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22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FABE3" id="_x0000_t202" coordsize="21600,21600" o:spt="202" path="m,l,21600r21600,l21600,xe">
                    <v:stroke joinstyle="miter"/>
                    <v:path gradientshapeok="t" o:connecttype="rect"/>
                  </v:shapetype>
                  <v:shape id="Text Box 2" o:spid="_x0000_s1026" type="#_x0000_t202" style="position:absolute;margin-left:-3.95pt;margin-top:63.45pt;width:441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" filled="f" stroked="f">
                    <v:textbo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v:textbox>
                    <w10:wrap type="square"/>
                  </v:shape>
                </w:pict>
              </mc:Fallback>
            </mc:AlternateContent>
          </w:r>
          <w:r w:rsidR="00316103">
            <w:rPr>
              <w:noProof/>
            </w:rPr>
            <mc:AlternateContent>
              <mc:Choice Requires="wps">
                <w:drawing>
                  <wp:anchor distT="0" distB="0" distL="114300" distR="114300" simplePos="0" relativeHeight="251661312" behindDoc="0" locked="0" layoutInCell="1" allowOverlap="1" wp14:anchorId="691BAF80" wp14:editId="3A576FF8">
                    <wp:simplePos x="0" y="0"/>
                    <wp:positionH relativeFrom="column">
                      <wp:posOffset>95250</wp:posOffset>
                    </wp:positionH>
                    <wp:positionV relativeFrom="paragraph">
                      <wp:posOffset>3723005</wp:posOffset>
                    </wp:positionV>
                    <wp:extent cx="5600700" cy="14192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41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A2B0C" w14:textId="74BD6590" w:rsidR="00A64380" w:rsidRDefault="0032123F" w:rsidP="00A64380">
                                <w:pPr>
                                  <w:jc w:val="center"/>
                                  <w:rPr>
                                    <w:color w:val="143960"/>
                                    <w:sz w:val="56"/>
                                    <w:szCs w:val="56"/>
                                  </w:rPr>
                                </w:pPr>
                                <w:r>
                                  <w:rPr>
                                    <w:color w:val="143960"/>
                                    <w:sz w:val="56"/>
                                    <w:szCs w:val="56"/>
                                  </w:rPr>
                                  <w:t>Facilities Management – LOT 1 Security</w:t>
                                </w:r>
                              </w:p>
                              <w:p w14:paraId="6E7ADB75" w14:textId="77777777" w:rsidR="0032123F" w:rsidRPr="003B5738" w:rsidRDefault="0032123F" w:rsidP="0032123F">
                                <w:pPr>
                                  <w:rPr>
                                    <w:color w:val="FF47B4"/>
                                    <w:sz w:val="56"/>
                                    <w:szCs w:val="56"/>
                                  </w:rPr>
                                </w:pP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7" type="#_x0000_t202" style="position:absolute;margin-left:7.5pt;margin-top:293.15pt;width:441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" filled="f" stroked="f">
                    <v:textbox>
                      <w:txbxContent>
                        <w:p w14:paraId="514A2B0C" w14:textId="74BD6590" w:rsidR="00A64380" w:rsidRDefault="0032123F" w:rsidP="00A64380">
                          <w:pPr>
                            <w:jc w:val="center"/>
                            <w:rPr>
                              <w:color w:val="143960"/>
                              <w:sz w:val="56"/>
                              <w:szCs w:val="56"/>
                            </w:rPr>
                          </w:pPr>
                          <w:r>
                            <w:rPr>
                              <w:color w:val="143960"/>
                              <w:sz w:val="56"/>
                              <w:szCs w:val="56"/>
                            </w:rPr>
                            <w:t>Facilities Management – LOT 1 Security</w:t>
                          </w:r>
                        </w:p>
                        <w:p w14:paraId="6E7ADB75" w14:textId="77777777" w:rsidR="0032123F" w:rsidRPr="003B5738" w:rsidRDefault="0032123F" w:rsidP="0032123F">
                          <w:pPr>
                            <w:rPr>
                              <w:color w:val="FF47B4"/>
                              <w:sz w:val="56"/>
                              <w:szCs w:val="56"/>
                            </w:rPr>
                          </w:pP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61F1F5" w14:textId="784EE94D" w:rsidR="007B4908" w:rsidRPr="0091012E" w:rsidRDefault="007B4908" w:rsidP="007B4908">
      <w:pPr>
        <w:pStyle w:val="AgtLevel2"/>
        <w:numPr>
          <w:ilvl w:val="0"/>
          <w:numId w:val="0"/>
        </w:numPr>
        <w:jc w:val="center"/>
        <w:rPr>
          <w:rFonts w:asciiTheme="minorHAnsi" w:hAnsiTheme="minorHAnsi" w:cs="Tahoma"/>
          <w:b/>
          <w:color w:val="FF0000"/>
          <w:sz w:val="32"/>
        </w:rPr>
      </w:pPr>
      <w:r>
        <w:rPr>
          <w:rFonts w:asciiTheme="minorHAnsi" w:hAnsiTheme="minorHAnsi" w:cs="Tahoma"/>
          <w:b/>
          <w:color w:val="000000" w:themeColor="text1"/>
          <w:sz w:val="32"/>
        </w:rPr>
        <w:lastRenderedPageBreak/>
        <w:t>T</w:t>
      </w:r>
      <w:r w:rsidRPr="00372C58">
        <w:rPr>
          <w:rFonts w:asciiTheme="minorHAnsi" w:hAnsiTheme="minorHAnsi" w:cs="Tahoma"/>
          <w:b/>
          <w:color w:val="000000" w:themeColor="text1"/>
          <w:sz w:val="32"/>
        </w:rPr>
        <w:t xml:space="preserve">he Project/Scope of Requirements </w:t>
      </w:r>
    </w:p>
    <w:p w14:paraId="748BFCF2" w14:textId="77777777" w:rsidR="007B4908" w:rsidRPr="00372C58" w:rsidRDefault="007B4908" w:rsidP="007B4908">
      <w:pPr>
        <w:jc w:val="both"/>
        <w:rPr>
          <w:rFonts w:cs="Tahoma"/>
          <w:b/>
          <w:color w:val="000000" w:themeColor="text1"/>
        </w:rPr>
      </w:pPr>
      <w:r w:rsidRPr="00372C58">
        <w:rPr>
          <w:rFonts w:cs="Tahoma"/>
          <w:b/>
          <w:color w:val="000000" w:themeColor="text1"/>
        </w:rPr>
        <w:t>ALL COMMUNICATIONS MUST BE SENT VIA THE ARIBA E-PROCUREMENT SYSTEM</w:t>
      </w:r>
    </w:p>
    <w:p w14:paraId="3973D1EA" w14:textId="77777777" w:rsidR="007B4908" w:rsidRDefault="007B4908" w:rsidP="007B4908">
      <w:pPr>
        <w:jc w:val="both"/>
        <w:rPr>
          <w:rFonts w:cs="Tahoma"/>
          <w:b/>
          <w:color w:val="000000" w:themeColor="text1"/>
          <w:sz w:val="20"/>
        </w:rPr>
      </w:pPr>
    </w:p>
    <w:p w14:paraId="25BDCA40" w14:textId="77777777" w:rsidR="007B4908" w:rsidRDefault="007B4908" w:rsidP="007B4908">
      <w:pPr>
        <w:jc w:val="both"/>
        <w:rPr>
          <w:rFonts w:cs="Tahoma"/>
          <w:b/>
          <w:color w:val="000000" w:themeColor="text1"/>
          <w:sz w:val="20"/>
        </w:rPr>
      </w:pPr>
    </w:p>
    <w:p w14:paraId="7D04C5E6" w14:textId="3DC98A45" w:rsidR="007B4908" w:rsidRDefault="007B4908" w:rsidP="007B4908">
      <w:pPr>
        <w:pStyle w:val="AgtLevel1Heading"/>
        <w:tabs>
          <w:tab w:val="clear" w:pos="720"/>
          <w:tab w:val="left" w:pos="0"/>
        </w:tabs>
        <w:ind w:left="0" w:firstLine="0"/>
        <w:rPr>
          <w:rFonts w:cs="Arial"/>
          <w:b w:val="0"/>
          <w:lang w:eastAsia="en-GB"/>
        </w:rPr>
      </w:pPr>
      <w:r w:rsidRPr="008A17C6">
        <w:rPr>
          <w:rFonts w:cs="Arial"/>
          <w:b w:val="0"/>
          <w:lang w:eastAsia="en-GB"/>
        </w:rPr>
        <w:t>This</w:t>
      </w:r>
      <w:r w:rsidRPr="008A17C6">
        <w:rPr>
          <w:rFonts w:cs="Arial"/>
          <w:b w:val="0"/>
          <w:color w:val="FF0000"/>
          <w:lang w:eastAsia="en-GB"/>
        </w:rPr>
        <w:t xml:space="preserve"> </w:t>
      </w:r>
      <w:r w:rsidRPr="008A17C6">
        <w:rPr>
          <w:rFonts w:cs="Arial"/>
          <w:b w:val="0"/>
          <w:lang w:eastAsia="en-GB"/>
        </w:rPr>
        <w:t>RFP is being conducted inline with the Utilities Contact Regulations 2016 using the negotiated procedure via Achilles UVDB qualification system notice</w:t>
      </w:r>
      <w:r>
        <w:rPr>
          <w:rFonts w:cs="Arial"/>
          <w:b w:val="0"/>
          <w:lang w:eastAsia="en-GB"/>
        </w:rPr>
        <w:t xml:space="preserve">. </w:t>
      </w:r>
    </w:p>
    <w:p w14:paraId="36C4E62C" w14:textId="77777777" w:rsidR="007B4908" w:rsidRDefault="007B4908" w:rsidP="007B4908">
      <w:pPr>
        <w:jc w:val="both"/>
        <w:rPr>
          <w:rFonts w:cs="Tahoma"/>
          <w:color w:val="000000" w:themeColor="text1"/>
          <w:sz w:val="20"/>
        </w:rPr>
      </w:pPr>
    </w:p>
    <w:p w14:paraId="3ABEE90C" w14:textId="54355008" w:rsidR="007B4908" w:rsidRDefault="007B4908" w:rsidP="007B4908">
      <w:pPr>
        <w:jc w:val="both"/>
        <w:rPr>
          <w:rFonts w:cs="Tahoma"/>
          <w:b/>
          <w:bCs/>
          <w:u w:val="single"/>
        </w:rPr>
      </w:pPr>
      <w:r w:rsidRPr="0091012E">
        <w:rPr>
          <w:rFonts w:cs="Tahoma"/>
          <w:b/>
          <w:bCs/>
          <w:u w:val="single"/>
        </w:rPr>
        <w:t>Project Scope (Works Information)</w:t>
      </w:r>
    </w:p>
    <w:p w14:paraId="34EA3C1C" w14:textId="132D3FEF" w:rsidR="00571F04" w:rsidRPr="00571F04" w:rsidRDefault="00571F04" w:rsidP="00571F04">
      <w:pPr>
        <w:jc w:val="both"/>
        <w:rPr>
          <w:rFonts w:ascii="Arial" w:hAnsi="Arial" w:cs="Arial"/>
          <w:color w:val="000000" w:themeColor="text1"/>
          <w:sz w:val="20"/>
        </w:rPr>
      </w:pPr>
      <w:bookmarkStart w:id="0" w:name="_Hlk145921080"/>
      <w:r w:rsidRPr="2B4616E8">
        <w:rPr>
          <w:rFonts w:ascii="Arial" w:hAnsi="Arial" w:cs="Arial"/>
          <w:color w:val="000000" w:themeColor="text1"/>
          <w:sz w:val="20"/>
        </w:rPr>
        <w:t>Northern Gas Networks current facilities contract provides a wide range of services and manages the facilities function out of our offices and depots across the network (Northeast of England, Cumbria, North &amp; East Riding and West Yorkshire)</w:t>
      </w:r>
      <w:r>
        <w:rPr>
          <w:rFonts w:ascii="Arial" w:hAnsi="Arial" w:cs="Arial"/>
          <w:color w:val="000000" w:themeColor="text1"/>
          <w:sz w:val="20"/>
        </w:rPr>
        <w:t xml:space="preserve">. </w:t>
      </w:r>
      <w:r w:rsidRPr="2B4616E8">
        <w:rPr>
          <w:rFonts w:ascii="Arial" w:hAnsi="Arial" w:cs="Arial"/>
          <w:color w:val="000000" w:themeColor="text1"/>
          <w:sz w:val="20"/>
        </w:rPr>
        <w:t>Our offices and depots range from newly built/refurbished industrial units and office buildings to long standing brick-built Gas buildings.</w:t>
      </w:r>
    </w:p>
    <w:p w14:paraId="303D2612" w14:textId="77777777" w:rsidR="00571F04" w:rsidRDefault="00571F04" w:rsidP="007B4908">
      <w:pPr>
        <w:jc w:val="both"/>
        <w:rPr>
          <w:rFonts w:ascii="Arial" w:hAnsi="Arial" w:cs="Arial"/>
          <w:color w:val="000000" w:themeColor="text1"/>
          <w:sz w:val="20"/>
        </w:rPr>
      </w:pPr>
    </w:p>
    <w:p w14:paraId="1DC5F037" w14:textId="4D9D2640" w:rsidR="00571F04" w:rsidRDefault="00571F04" w:rsidP="007B4908">
      <w:pPr>
        <w:jc w:val="both"/>
        <w:rPr>
          <w:rFonts w:ascii="Arial" w:hAnsi="Arial" w:cs="Arial"/>
          <w:color w:val="000000" w:themeColor="text1"/>
          <w:sz w:val="20"/>
        </w:rPr>
      </w:pPr>
    </w:p>
    <w:p w14:paraId="20D14EE7" w14:textId="33B9CA51" w:rsidR="00571F04" w:rsidRDefault="00571F04" w:rsidP="007B4908">
      <w:pPr>
        <w:jc w:val="both"/>
        <w:rPr>
          <w:rFonts w:ascii="Arial" w:hAnsi="Arial" w:cs="Arial"/>
          <w:color w:val="000000" w:themeColor="text1"/>
          <w:sz w:val="20"/>
        </w:rPr>
      </w:pPr>
      <w:r>
        <w:rPr>
          <w:rFonts w:ascii="Arial" w:hAnsi="Arial" w:cs="Arial"/>
          <w:color w:val="000000" w:themeColor="text1"/>
          <w:sz w:val="20"/>
        </w:rPr>
        <w:t xml:space="preserve">This is now being split in to 4 LOTs – </w:t>
      </w:r>
    </w:p>
    <w:p w14:paraId="775D705D" w14:textId="0D849B3A" w:rsidR="00571F04" w:rsidRDefault="00571F04" w:rsidP="00571F04">
      <w:pPr>
        <w:pStyle w:val="ListParagraph"/>
        <w:numPr>
          <w:ilvl w:val="0"/>
          <w:numId w:val="6"/>
        </w:numPr>
        <w:jc w:val="both"/>
        <w:rPr>
          <w:rFonts w:ascii="Arial" w:hAnsi="Arial" w:cs="Arial"/>
          <w:color w:val="000000" w:themeColor="text1"/>
          <w:sz w:val="20"/>
        </w:rPr>
      </w:pPr>
      <w:r>
        <w:rPr>
          <w:rFonts w:ascii="Arial" w:hAnsi="Arial" w:cs="Arial"/>
          <w:color w:val="000000" w:themeColor="text1"/>
          <w:sz w:val="20"/>
        </w:rPr>
        <w:t>LOT 1 – Security</w:t>
      </w:r>
    </w:p>
    <w:p w14:paraId="0CD01727" w14:textId="55310B92" w:rsidR="00571F04" w:rsidRDefault="00571F04" w:rsidP="00571F04">
      <w:pPr>
        <w:pStyle w:val="ListParagraph"/>
        <w:numPr>
          <w:ilvl w:val="0"/>
          <w:numId w:val="6"/>
        </w:numPr>
        <w:jc w:val="both"/>
        <w:rPr>
          <w:rFonts w:ascii="Arial" w:hAnsi="Arial" w:cs="Arial"/>
          <w:color w:val="000000" w:themeColor="text1"/>
          <w:sz w:val="20"/>
        </w:rPr>
      </w:pPr>
      <w:r>
        <w:rPr>
          <w:rFonts w:ascii="Arial" w:hAnsi="Arial" w:cs="Arial"/>
          <w:color w:val="000000" w:themeColor="text1"/>
          <w:sz w:val="20"/>
        </w:rPr>
        <w:t>LOT 2 - Waste</w:t>
      </w:r>
    </w:p>
    <w:p w14:paraId="0B6EFCB0" w14:textId="60BCBF77" w:rsidR="00571F04" w:rsidRDefault="00571F04" w:rsidP="00571F04">
      <w:pPr>
        <w:pStyle w:val="ListParagraph"/>
        <w:numPr>
          <w:ilvl w:val="0"/>
          <w:numId w:val="6"/>
        </w:numPr>
        <w:jc w:val="both"/>
        <w:rPr>
          <w:rFonts w:ascii="Arial" w:hAnsi="Arial" w:cs="Arial"/>
          <w:color w:val="000000" w:themeColor="text1"/>
          <w:sz w:val="20"/>
        </w:rPr>
      </w:pPr>
      <w:r>
        <w:rPr>
          <w:rFonts w:ascii="Arial" w:hAnsi="Arial" w:cs="Arial"/>
          <w:color w:val="000000" w:themeColor="text1"/>
          <w:sz w:val="20"/>
        </w:rPr>
        <w:t>LOT 3 - Cleaning</w:t>
      </w:r>
    </w:p>
    <w:p w14:paraId="6DDE38AB" w14:textId="3D499C7D" w:rsidR="00571F04" w:rsidRDefault="00571F04" w:rsidP="00571F04">
      <w:pPr>
        <w:pStyle w:val="ListParagraph"/>
        <w:numPr>
          <w:ilvl w:val="0"/>
          <w:numId w:val="6"/>
        </w:numPr>
        <w:jc w:val="both"/>
        <w:rPr>
          <w:rFonts w:ascii="Arial" w:hAnsi="Arial" w:cs="Arial"/>
          <w:color w:val="000000" w:themeColor="text1"/>
          <w:sz w:val="20"/>
        </w:rPr>
      </w:pPr>
      <w:r>
        <w:rPr>
          <w:rFonts w:ascii="Arial" w:hAnsi="Arial" w:cs="Arial"/>
          <w:color w:val="000000" w:themeColor="text1"/>
          <w:sz w:val="20"/>
        </w:rPr>
        <w:t>LOT 4 – General Maintenance</w:t>
      </w:r>
    </w:p>
    <w:bookmarkEnd w:id="0"/>
    <w:p w14:paraId="697B2E01" w14:textId="77777777" w:rsidR="00571F04" w:rsidRPr="00571F04" w:rsidRDefault="00571F04" w:rsidP="00571F04">
      <w:pPr>
        <w:ind w:left="360"/>
        <w:jc w:val="both"/>
        <w:rPr>
          <w:rFonts w:ascii="Arial" w:hAnsi="Arial" w:cs="Arial"/>
          <w:color w:val="000000" w:themeColor="text1"/>
          <w:sz w:val="20"/>
        </w:rPr>
      </w:pPr>
    </w:p>
    <w:p w14:paraId="19E2C1FB" w14:textId="4F1A2171" w:rsidR="006D7B37" w:rsidRPr="00D361AA" w:rsidRDefault="00571F04" w:rsidP="006D7B37">
      <w:pPr>
        <w:rPr>
          <w:rFonts w:ascii="Arial" w:hAnsi="Arial" w:cs="Arial"/>
          <w:bCs/>
          <w:color w:val="000000" w:themeColor="text1"/>
          <w:sz w:val="20"/>
          <w:szCs w:val="16"/>
        </w:rPr>
      </w:pPr>
      <w:r w:rsidRPr="00571F04">
        <w:rPr>
          <w:rFonts w:ascii="Arial" w:hAnsi="Arial" w:cs="Arial"/>
          <w:color w:val="000000" w:themeColor="text1"/>
          <w:sz w:val="20"/>
        </w:rPr>
        <w:t xml:space="preserve">Under LOT 1 – Security </w:t>
      </w:r>
      <w:r w:rsidR="006D7B37" w:rsidRPr="00D361AA">
        <w:rPr>
          <w:rFonts w:ascii="Arial" w:hAnsi="Arial" w:cs="Arial"/>
          <w:color w:val="000000" w:themeColor="text1"/>
          <w:sz w:val="20"/>
        </w:rPr>
        <w:t>NGN will be looking to appoint a single supplier to</w:t>
      </w:r>
      <w:r w:rsidR="006D7B37" w:rsidRPr="007010C9">
        <w:rPr>
          <w:rFonts w:ascii="Arial" w:hAnsi="Arial" w:cs="Arial"/>
          <w:bCs/>
          <w:color w:val="000000" w:themeColor="text1"/>
          <w:sz w:val="20"/>
          <w:szCs w:val="16"/>
        </w:rPr>
        <w:t xml:space="preserve"> </w:t>
      </w:r>
      <w:r w:rsidR="006D7B37">
        <w:rPr>
          <w:rFonts w:ascii="Arial" w:hAnsi="Arial" w:cs="Arial"/>
          <w:bCs/>
          <w:color w:val="000000" w:themeColor="text1"/>
          <w:sz w:val="20"/>
          <w:szCs w:val="16"/>
        </w:rPr>
        <w:t xml:space="preserve">provide </w:t>
      </w:r>
      <w:r w:rsidR="006D7B37" w:rsidRPr="007010C9">
        <w:rPr>
          <w:rFonts w:ascii="Arial" w:hAnsi="Arial" w:cs="Arial"/>
          <w:bCs/>
          <w:color w:val="000000" w:themeColor="text1"/>
          <w:sz w:val="20"/>
          <w:szCs w:val="16"/>
        </w:rPr>
        <w:t>Security Guard</w:t>
      </w:r>
      <w:r w:rsidR="006D7B37">
        <w:rPr>
          <w:rFonts w:ascii="Arial" w:hAnsi="Arial" w:cs="Arial"/>
          <w:bCs/>
          <w:color w:val="000000" w:themeColor="text1"/>
          <w:sz w:val="20"/>
          <w:szCs w:val="16"/>
        </w:rPr>
        <w:t>ing for one NGN Office (Thorpe Park</w:t>
      </w:r>
      <w:r>
        <w:rPr>
          <w:rFonts w:ascii="Arial" w:hAnsi="Arial" w:cs="Arial"/>
          <w:bCs/>
          <w:color w:val="000000" w:themeColor="text1"/>
          <w:sz w:val="20"/>
          <w:szCs w:val="16"/>
        </w:rPr>
        <w:t>, Leeds</w:t>
      </w:r>
      <w:r w:rsidR="006D7B37">
        <w:rPr>
          <w:rFonts w:ascii="Arial" w:hAnsi="Arial" w:cs="Arial"/>
          <w:bCs/>
          <w:color w:val="000000" w:themeColor="text1"/>
          <w:sz w:val="20"/>
          <w:szCs w:val="16"/>
        </w:rPr>
        <w:t>). T</w:t>
      </w:r>
      <w:r w:rsidR="006D7B37" w:rsidRPr="00D361AA">
        <w:rPr>
          <w:rFonts w:ascii="Arial" w:hAnsi="Arial" w:cs="Arial"/>
          <w:bCs/>
          <w:color w:val="000000" w:themeColor="text1"/>
          <w:sz w:val="20"/>
          <w:szCs w:val="16"/>
        </w:rPr>
        <w:t xml:space="preserve">he supplier </w:t>
      </w:r>
      <w:r w:rsidR="006D7B37">
        <w:rPr>
          <w:rFonts w:ascii="Arial" w:hAnsi="Arial" w:cs="Arial"/>
          <w:bCs/>
          <w:color w:val="000000" w:themeColor="text1"/>
          <w:sz w:val="20"/>
          <w:szCs w:val="16"/>
        </w:rPr>
        <w:t>may also</w:t>
      </w:r>
      <w:r w:rsidR="006D7B37" w:rsidRPr="00D361AA">
        <w:rPr>
          <w:rFonts w:ascii="Arial" w:hAnsi="Arial" w:cs="Arial"/>
          <w:bCs/>
          <w:color w:val="000000" w:themeColor="text1"/>
          <w:sz w:val="20"/>
          <w:szCs w:val="16"/>
        </w:rPr>
        <w:t xml:space="preserve"> be expected to provide a range of security options on an ad-hoc basis.  </w:t>
      </w:r>
    </w:p>
    <w:p w14:paraId="2B3880EB" w14:textId="77777777" w:rsidR="006D7B37" w:rsidRPr="00D361AA" w:rsidRDefault="006D7B37" w:rsidP="006D7B37">
      <w:pPr>
        <w:rPr>
          <w:rFonts w:ascii="Arial" w:hAnsi="Arial" w:cs="Arial"/>
          <w:bCs/>
          <w:color w:val="000000" w:themeColor="text1"/>
          <w:sz w:val="20"/>
          <w:szCs w:val="16"/>
        </w:rPr>
      </w:pPr>
    </w:p>
    <w:p w14:paraId="31B67CD5" w14:textId="77777777" w:rsidR="006D7B37" w:rsidRPr="00921937" w:rsidRDefault="006D7B37" w:rsidP="006D7B37">
      <w:pPr>
        <w:rPr>
          <w:rFonts w:ascii="Arial" w:hAnsi="Arial" w:cs="Arial"/>
          <w:color w:val="000000" w:themeColor="text1"/>
          <w:sz w:val="20"/>
        </w:rPr>
      </w:pPr>
      <w:r w:rsidRPr="007010C9">
        <w:rPr>
          <w:rFonts w:ascii="Arial" w:hAnsi="Arial" w:cs="Arial"/>
          <w:sz w:val="20"/>
        </w:rPr>
        <w:t>Security guarding services should be provided to the standards set out below.</w:t>
      </w:r>
    </w:p>
    <w:p w14:paraId="40DFB977" w14:textId="77777777" w:rsidR="006D7B37" w:rsidRPr="00A86628" w:rsidRDefault="006D7B37" w:rsidP="006D7B37">
      <w:pPr>
        <w:ind w:left="720"/>
        <w:rPr>
          <w:rFonts w:ascii="Arial" w:hAnsi="Arial" w:cs="Arial"/>
          <w:i/>
          <w:iCs/>
          <w:color w:val="000000" w:themeColor="text1"/>
          <w:sz w:val="20"/>
        </w:rPr>
      </w:pPr>
      <w:r w:rsidRPr="00A86628">
        <w:rPr>
          <w:rFonts w:ascii="Arial" w:hAnsi="Arial" w:cs="Arial"/>
          <w:i/>
          <w:iCs/>
          <w:color w:val="000000" w:themeColor="text1"/>
          <w:sz w:val="20"/>
        </w:rPr>
        <w:t xml:space="preserve">All Security staff must be adequately trained in emergency evacuation measures including but not limited to building evacuation procedures and how to react in the event of fire, bomb, </w:t>
      </w:r>
      <w:proofErr w:type="gramStart"/>
      <w:r w:rsidRPr="00A86628">
        <w:rPr>
          <w:rFonts w:ascii="Arial" w:hAnsi="Arial" w:cs="Arial"/>
          <w:i/>
          <w:iCs/>
          <w:color w:val="000000" w:themeColor="text1"/>
          <w:sz w:val="20"/>
        </w:rPr>
        <w:t>terrorist</w:t>
      </w:r>
      <w:proofErr w:type="gramEnd"/>
      <w:r w:rsidRPr="00A86628">
        <w:rPr>
          <w:rFonts w:ascii="Arial" w:hAnsi="Arial" w:cs="Arial"/>
          <w:i/>
          <w:iCs/>
          <w:color w:val="000000" w:themeColor="text1"/>
          <w:sz w:val="20"/>
        </w:rPr>
        <w:t xml:space="preserve"> or any other threat. </w:t>
      </w:r>
    </w:p>
    <w:p w14:paraId="48FF3AA4" w14:textId="77777777" w:rsidR="007B4908" w:rsidRPr="00284310" w:rsidRDefault="007B4908" w:rsidP="007B4908">
      <w:pPr>
        <w:ind w:left="709" w:hanging="709"/>
        <w:jc w:val="both"/>
        <w:rPr>
          <w:rFonts w:cs="Tahoma"/>
          <w:bCs/>
          <w:sz w:val="20"/>
          <w:szCs w:val="20"/>
        </w:rPr>
      </w:pPr>
    </w:p>
    <w:tbl>
      <w:tblPr>
        <w:tblpPr w:leftFromText="180" w:rightFromText="180" w:vertAnchor="text" w:horzAnchor="margin" w:tblpXSpec="center" w:tblpY="22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77626D" w:rsidRPr="00D361AA" w14:paraId="4691F10B" w14:textId="77777777" w:rsidTr="0077626D">
        <w:tc>
          <w:tcPr>
            <w:tcW w:w="3828" w:type="dxa"/>
            <w:shd w:val="clear" w:color="auto" w:fill="44546A" w:themeFill="text2"/>
          </w:tcPr>
          <w:p w14:paraId="3B1C7136" w14:textId="77777777" w:rsidR="0077626D" w:rsidRPr="00D361AA" w:rsidRDefault="0077626D" w:rsidP="0077626D">
            <w:pPr>
              <w:tabs>
                <w:tab w:val="left" w:pos="1440"/>
              </w:tabs>
              <w:spacing w:after="220"/>
              <w:rPr>
                <w:rFonts w:ascii="Arial" w:hAnsi="Arial" w:cs="Arial"/>
                <w:color w:val="FFFFFF" w:themeColor="background1"/>
                <w:sz w:val="20"/>
              </w:rPr>
            </w:pPr>
            <w:r w:rsidRPr="00D361AA">
              <w:rPr>
                <w:rFonts w:ascii="Arial" w:hAnsi="Arial" w:cs="Arial"/>
                <w:b/>
                <w:color w:val="FFFFFF" w:themeColor="background1"/>
                <w:sz w:val="20"/>
              </w:rPr>
              <w:t xml:space="preserve">Service </w:t>
            </w:r>
          </w:p>
        </w:tc>
        <w:tc>
          <w:tcPr>
            <w:tcW w:w="6662" w:type="dxa"/>
            <w:shd w:val="clear" w:color="auto" w:fill="44546A" w:themeFill="text2"/>
          </w:tcPr>
          <w:p w14:paraId="4D300739" w14:textId="77777777" w:rsidR="0077626D" w:rsidRPr="00D361AA" w:rsidRDefault="0077626D" w:rsidP="0077626D">
            <w:pPr>
              <w:tabs>
                <w:tab w:val="left" w:pos="1440"/>
              </w:tabs>
              <w:spacing w:after="220"/>
              <w:rPr>
                <w:rFonts w:ascii="Arial" w:hAnsi="Arial" w:cs="Arial"/>
                <w:color w:val="FFFFFF" w:themeColor="background1"/>
                <w:sz w:val="20"/>
              </w:rPr>
            </w:pPr>
            <w:r w:rsidRPr="00D361AA">
              <w:rPr>
                <w:rFonts w:ascii="Arial" w:hAnsi="Arial" w:cs="Arial"/>
                <w:b/>
                <w:color w:val="FFFFFF" w:themeColor="background1"/>
                <w:sz w:val="20"/>
              </w:rPr>
              <w:t>Service Standard</w:t>
            </w:r>
          </w:p>
        </w:tc>
      </w:tr>
      <w:tr w:rsidR="0077626D" w:rsidRPr="00D361AA" w14:paraId="3D6C3CEA" w14:textId="77777777" w:rsidTr="0077626D">
        <w:tc>
          <w:tcPr>
            <w:tcW w:w="3828" w:type="dxa"/>
            <w:shd w:val="clear" w:color="auto" w:fill="auto"/>
          </w:tcPr>
          <w:p w14:paraId="67D91CF1" w14:textId="77777777" w:rsidR="0077626D" w:rsidRDefault="0077626D" w:rsidP="0077626D">
            <w:pPr>
              <w:tabs>
                <w:tab w:val="left" w:pos="1440"/>
              </w:tabs>
              <w:spacing w:after="220"/>
              <w:rPr>
                <w:rFonts w:ascii="Arial" w:hAnsi="Arial" w:cs="Arial"/>
                <w:sz w:val="20"/>
              </w:rPr>
            </w:pPr>
            <w:r w:rsidRPr="00D361AA">
              <w:rPr>
                <w:rFonts w:ascii="Arial" w:hAnsi="Arial" w:cs="Arial"/>
                <w:sz w:val="20"/>
              </w:rPr>
              <w:t xml:space="preserve">Provide </w:t>
            </w:r>
            <w:r>
              <w:rPr>
                <w:rFonts w:ascii="Arial" w:hAnsi="Arial" w:cs="Arial"/>
                <w:sz w:val="20"/>
              </w:rPr>
              <w:t>Security G</w:t>
            </w:r>
            <w:r w:rsidRPr="00D361AA">
              <w:rPr>
                <w:rFonts w:ascii="Arial" w:hAnsi="Arial" w:cs="Arial"/>
                <w:sz w:val="20"/>
              </w:rPr>
              <w:t xml:space="preserve">uards. </w:t>
            </w:r>
          </w:p>
          <w:p w14:paraId="0F38439D" w14:textId="77777777" w:rsidR="0077626D" w:rsidRDefault="0077626D" w:rsidP="0077626D">
            <w:pPr>
              <w:tabs>
                <w:tab w:val="left" w:pos="1440"/>
              </w:tabs>
              <w:spacing w:after="220"/>
              <w:rPr>
                <w:rFonts w:ascii="Arial" w:hAnsi="Arial" w:cs="Arial"/>
                <w:sz w:val="20"/>
              </w:rPr>
            </w:pPr>
            <w:r w:rsidRPr="00D361AA">
              <w:rPr>
                <w:rFonts w:ascii="Arial" w:hAnsi="Arial" w:cs="Arial"/>
                <w:sz w:val="20"/>
              </w:rPr>
              <w:t>One person at any one time to cover out of hours</w:t>
            </w:r>
            <w:r>
              <w:rPr>
                <w:rFonts w:ascii="Arial" w:hAnsi="Arial" w:cs="Arial"/>
                <w:sz w:val="20"/>
              </w:rPr>
              <w:t>:</w:t>
            </w:r>
          </w:p>
          <w:p w14:paraId="7C868D63" w14:textId="7BB1CA66" w:rsidR="0077626D" w:rsidRDefault="00514FB7" w:rsidP="0077626D">
            <w:pPr>
              <w:tabs>
                <w:tab w:val="left" w:pos="1440"/>
              </w:tabs>
              <w:spacing w:after="220"/>
              <w:rPr>
                <w:rFonts w:ascii="Arial" w:hAnsi="Arial" w:cs="Arial"/>
                <w:sz w:val="20"/>
              </w:rPr>
            </w:pPr>
            <w:r>
              <w:rPr>
                <w:rFonts w:ascii="Arial" w:hAnsi="Arial" w:cs="Arial"/>
                <w:sz w:val="20"/>
              </w:rPr>
              <w:t>19:00</w:t>
            </w:r>
            <w:r w:rsidR="0077626D" w:rsidRPr="00D361AA">
              <w:rPr>
                <w:rFonts w:ascii="Arial" w:hAnsi="Arial" w:cs="Arial"/>
                <w:sz w:val="20"/>
              </w:rPr>
              <w:t xml:space="preserve"> – 0</w:t>
            </w:r>
            <w:r>
              <w:rPr>
                <w:rFonts w:ascii="Arial" w:hAnsi="Arial" w:cs="Arial"/>
                <w:sz w:val="20"/>
              </w:rPr>
              <w:t>7</w:t>
            </w:r>
            <w:r w:rsidR="0077626D" w:rsidRPr="00D361AA">
              <w:rPr>
                <w:rFonts w:ascii="Arial" w:hAnsi="Arial" w:cs="Arial"/>
                <w:sz w:val="20"/>
              </w:rPr>
              <w:t xml:space="preserve">:00 Monday to Friday. </w:t>
            </w:r>
          </w:p>
          <w:p w14:paraId="50EB0760" w14:textId="17209CA8"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1</w:t>
            </w:r>
            <w:r w:rsidR="00514FB7">
              <w:rPr>
                <w:rFonts w:ascii="Arial" w:hAnsi="Arial" w:cs="Arial"/>
                <w:sz w:val="20"/>
              </w:rPr>
              <w:t>9</w:t>
            </w:r>
            <w:r w:rsidRPr="00D361AA">
              <w:rPr>
                <w:rFonts w:ascii="Arial" w:hAnsi="Arial" w:cs="Arial"/>
                <w:sz w:val="20"/>
              </w:rPr>
              <w:t>:00</w:t>
            </w:r>
            <w:r>
              <w:rPr>
                <w:rFonts w:ascii="Arial" w:hAnsi="Arial" w:cs="Arial"/>
                <w:sz w:val="20"/>
              </w:rPr>
              <w:t xml:space="preserve"> Friday</w:t>
            </w:r>
            <w:r w:rsidRPr="00D361AA">
              <w:rPr>
                <w:rFonts w:ascii="Arial" w:hAnsi="Arial" w:cs="Arial"/>
                <w:sz w:val="20"/>
              </w:rPr>
              <w:t xml:space="preserve"> – 0</w:t>
            </w:r>
            <w:r w:rsidR="00514FB7">
              <w:rPr>
                <w:rFonts w:ascii="Arial" w:hAnsi="Arial" w:cs="Arial"/>
                <w:sz w:val="20"/>
              </w:rPr>
              <w:t>7</w:t>
            </w:r>
            <w:r w:rsidRPr="00D361AA">
              <w:rPr>
                <w:rFonts w:ascii="Arial" w:hAnsi="Arial" w:cs="Arial"/>
                <w:sz w:val="20"/>
              </w:rPr>
              <w:t>:00</w:t>
            </w:r>
            <w:r>
              <w:rPr>
                <w:rFonts w:ascii="Arial" w:hAnsi="Arial" w:cs="Arial"/>
                <w:sz w:val="20"/>
              </w:rPr>
              <w:t xml:space="preserve"> Monday</w:t>
            </w:r>
          </w:p>
        </w:tc>
        <w:tc>
          <w:tcPr>
            <w:tcW w:w="6662" w:type="dxa"/>
            <w:shd w:val="clear" w:color="auto" w:fill="auto"/>
          </w:tcPr>
          <w:p w14:paraId="6386C3D1" w14:textId="77777777" w:rsidR="0077626D" w:rsidRDefault="0077626D" w:rsidP="0077626D">
            <w:pPr>
              <w:pStyle w:val="TableNormal1"/>
              <w:jc w:val="left"/>
              <w:rPr>
                <w:rFonts w:cs="Arial"/>
                <w:sz w:val="20"/>
              </w:rPr>
            </w:pPr>
            <w:r w:rsidRPr="00D361AA">
              <w:rPr>
                <w:rFonts w:cs="Arial"/>
                <w:sz w:val="20"/>
              </w:rPr>
              <w:t xml:space="preserve">The supplier will recruit and provide staff who are suitable, </w:t>
            </w:r>
            <w:proofErr w:type="gramStart"/>
            <w:r w:rsidRPr="00D361AA">
              <w:rPr>
                <w:rFonts w:cs="Arial"/>
                <w:sz w:val="20"/>
              </w:rPr>
              <w:t>qualified</w:t>
            </w:r>
            <w:proofErr w:type="gramEnd"/>
            <w:r w:rsidRPr="00D361AA">
              <w:rPr>
                <w:rFonts w:cs="Arial"/>
                <w:sz w:val="20"/>
              </w:rPr>
              <w:t xml:space="preserve"> and able persons to carry out procedures in accordance with B</w:t>
            </w:r>
            <w:r>
              <w:rPr>
                <w:rFonts w:cs="Arial"/>
                <w:sz w:val="20"/>
              </w:rPr>
              <w:t xml:space="preserve">ritish </w:t>
            </w:r>
            <w:r w:rsidRPr="00D361AA">
              <w:rPr>
                <w:rFonts w:cs="Arial"/>
                <w:sz w:val="20"/>
              </w:rPr>
              <w:t>S</w:t>
            </w:r>
            <w:r>
              <w:rPr>
                <w:rFonts w:cs="Arial"/>
                <w:sz w:val="20"/>
              </w:rPr>
              <w:t>tandard</w:t>
            </w:r>
            <w:r w:rsidRPr="00D361AA">
              <w:rPr>
                <w:rFonts w:cs="Arial"/>
                <w:sz w:val="20"/>
              </w:rPr>
              <w:t xml:space="preserve"> 7858.  Training of staff to British Standard 7499 (and ISO equivalent) will be required</w:t>
            </w:r>
            <w:r>
              <w:rPr>
                <w:rFonts w:cs="Arial"/>
                <w:sz w:val="20"/>
              </w:rPr>
              <w:t xml:space="preserve"> along with valid and relevant SIA Accreditation. </w:t>
            </w:r>
          </w:p>
          <w:p w14:paraId="44130FE1" w14:textId="77777777" w:rsidR="0077626D" w:rsidRPr="00D361AA" w:rsidRDefault="0077626D" w:rsidP="0077626D">
            <w:pPr>
              <w:pStyle w:val="TableNormal1"/>
              <w:jc w:val="left"/>
              <w:rPr>
                <w:rFonts w:cs="Arial"/>
                <w:sz w:val="20"/>
              </w:rPr>
            </w:pPr>
            <w:r>
              <w:rPr>
                <w:rFonts w:cs="Arial"/>
                <w:sz w:val="20"/>
              </w:rPr>
              <w:t>All Security Personnel must be First Aid and Fire Marshall trained.</w:t>
            </w:r>
          </w:p>
          <w:p w14:paraId="2A54F43F" w14:textId="77777777" w:rsidR="0077626D" w:rsidRPr="00D361AA" w:rsidRDefault="0077626D" w:rsidP="0077626D">
            <w:pPr>
              <w:pStyle w:val="TableNormal1"/>
              <w:jc w:val="left"/>
              <w:rPr>
                <w:rFonts w:cs="Arial"/>
                <w:sz w:val="20"/>
              </w:rPr>
            </w:pPr>
            <w:r w:rsidRPr="00D361AA">
              <w:rPr>
                <w:rFonts w:cs="Arial"/>
                <w:sz w:val="20"/>
              </w:rPr>
              <w:t xml:space="preserve">The supplier will minimise staff turnover and provide appropriate cover for annual leave and other absences to </w:t>
            </w:r>
            <w:proofErr w:type="gramStart"/>
            <w:r w:rsidRPr="00D361AA">
              <w:rPr>
                <w:rFonts w:cs="Arial"/>
                <w:sz w:val="20"/>
              </w:rPr>
              <w:t>maintain full cover at all times</w:t>
            </w:r>
            <w:proofErr w:type="gramEnd"/>
            <w:r w:rsidRPr="00D361AA">
              <w:rPr>
                <w:rFonts w:cs="Arial"/>
                <w:sz w:val="20"/>
              </w:rPr>
              <w:t>.</w:t>
            </w:r>
          </w:p>
          <w:p w14:paraId="182ACFA2"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The supplier will provide evidence that all staff meet the required standard</w:t>
            </w:r>
            <w:r>
              <w:rPr>
                <w:rFonts w:ascii="Arial" w:hAnsi="Arial" w:cs="Arial"/>
                <w:sz w:val="20"/>
              </w:rPr>
              <w:t>s.</w:t>
            </w:r>
          </w:p>
        </w:tc>
      </w:tr>
      <w:tr w:rsidR="0077626D" w:rsidRPr="00D361AA" w14:paraId="06F0E87F" w14:textId="77777777" w:rsidTr="0077626D">
        <w:tc>
          <w:tcPr>
            <w:tcW w:w="3828" w:type="dxa"/>
            <w:shd w:val="clear" w:color="auto" w:fill="auto"/>
          </w:tcPr>
          <w:p w14:paraId="7C69A649"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 xml:space="preserve">Production and issue of assignment instructions.  </w:t>
            </w:r>
          </w:p>
        </w:tc>
        <w:tc>
          <w:tcPr>
            <w:tcW w:w="6662" w:type="dxa"/>
            <w:shd w:val="clear" w:color="auto" w:fill="auto"/>
          </w:tcPr>
          <w:p w14:paraId="7C1D3115"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The supplier will produce assignment instructions detailing working methods and procedures, in conjunction with the Client, and issue to all relevant parties.</w:t>
            </w:r>
          </w:p>
        </w:tc>
      </w:tr>
      <w:tr w:rsidR="0077626D" w:rsidRPr="00D361AA" w14:paraId="7F4A8FAA" w14:textId="77777777" w:rsidTr="0077626D">
        <w:tc>
          <w:tcPr>
            <w:tcW w:w="3828" w:type="dxa"/>
            <w:shd w:val="clear" w:color="auto" w:fill="auto"/>
          </w:tcPr>
          <w:p w14:paraId="6313F8F9"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Adherence to and maintenance of assignment instructions.</w:t>
            </w:r>
          </w:p>
        </w:tc>
        <w:tc>
          <w:tcPr>
            <w:tcW w:w="6662" w:type="dxa"/>
            <w:shd w:val="clear" w:color="auto" w:fill="auto"/>
          </w:tcPr>
          <w:p w14:paraId="10434213"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 xml:space="preserve">The supplier will </w:t>
            </w:r>
            <w:proofErr w:type="gramStart"/>
            <w:r w:rsidRPr="00D361AA">
              <w:rPr>
                <w:rFonts w:ascii="Arial" w:hAnsi="Arial" w:cs="Arial"/>
                <w:sz w:val="20"/>
              </w:rPr>
              <w:t>deliver services at all times</w:t>
            </w:r>
            <w:proofErr w:type="gramEnd"/>
            <w:r w:rsidRPr="00D361AA">
              <w:rPr>
                <w:rFonts w:ascii="Arial" w:hAnsi="Arial" w:cs="Arial"/>
                <w:sz w:val="20"/>
              </w:rPr>
              <w:t xml:space="preserve"> in accordance with the procedures set out in the assignment instructions.</w:t>
            </w:r>
          </w:p>
        </w:tc>
      </w:tr>
      <w:tr w:rsidR="0077626D" w:rsidRPr="00D361AA" w14:paraId="3870A614" w14:textId="77777777" w:rsidTr="0077626D">
        <w:tc>
          <w:tcPr>
            <w:tcW w:w="3828" w:type="dxa"/>
            <w:shd w:val="clear" w:color="auto" w:fill="auto"/>
          </w:tcPr>
          <w:p w14:paraId="6A7678DF" w14:textId="77777777" w:rsidR="0077626D" w:rsidRPr="00D361AA" w:rsidRDefault="0077626D" w:rsidP="0077626D">
            <w:pPr>
              <w:pStyle w:val="TableNormal1"/>
              <w:jc w:val="left"/>
              <w:rPr>
                <w:rFonts w:cs="Arial"/>
                <w:sz w:val="20"/>
              </w:rPr>
            </w:pPr>
            <w:r w:rsidRPr="00D361AA">
              <w:rPr>
                <w:rFonts w:cs="Arial"/>
                <w:sz w:val="20"/>
              </w:rPr>
              <w:lastRenderedPageBreak/>
              <w:t>Access control.</w:t>
            </w:r>
          </w:p>
          <w:p w14:paraId="5E07F6A0" w14:textId="77777777" w:rsidR="0077626D" w:rsidRPr="00D361AA" w:rsidRDefault="0077626D" w:rsidP="0077626D">
            <w:pPr>
              <w:tabs>
                <w:tab w:val="left" w:pos="1440"/>
              </w:tabs>
              <w:spacing w:after="220"/>
              <w:rPr>
                <w:rFonts w:ascii="Arial" w:hAnsi="Arial" w:cs="Arial"/>
                <w:sz w:val="20"/>
              </w:rPr>
            </w:pPr>
          </w:p>
        </w:tc>
        <w:tc>
          <w:tcPr>
            <w:tcW w:w="6662" w:type="dxa"/>
            <w:shd w:val="clear" w:color="auto" w:fill="auto"/>
          </w:tcPr>
          <w:p w14:paraId="728D3C60" w14:textId="3DE78853" w:rsidR="0077626D" w:rsidRPr="00D361AA" w:rsidRDefault="0077626D" w:rsidP="0077626D">
            <w:pPr>
              <w:pStyle w:val="TableNormal1"/>
              <w:jc w:val="left"/>
              <w:rPr>
                <w:rFonts w:cs="Arial"/>
                <w:sz w:val="20"/>
              </w:rPr>
            </w:pPr>
            <w:r w:rsidRPr="00D361AA">
              <w:rPr>
                <w:rFonts w:cs="Arial"/>
                <w:sz w:val="20"/>
              </w:rPr>
              <w:t>The supplier will prevent unauthorised access to the Sit</w:t>
            </w:r>
            <w:r w:rsidR="00D00A63">
              <w:rPr>
                <w:rFonts w:cs="Arial"/>
                <w:sz w:val="20"/>
              </w:rPr>
              <w:t>e</w:t>
            </w:r>
            <w:r w:rsidRPr="00D361AA">
              <w:rPr>
                <w:rFonts w:cs="Arial"/>
                <w:sz w:val="20"/>
              </w:rPr>
              <w:t xml:space="preserve"> and </w:t>
            </w:r>
            <w:r w:rsidR="00471E1E">
              <w:rPr>
                <w:rFonts w:cs="Arial"/>
                <w:sz w:val="20"/>
              </w:rPr>
              <w:t xml:space="preserve">be responsible for </w:t>
            </w:r>
            <w:r w:rsidRPr="00D361AA">
              <w:rPr>
                <w:rFonts w:cs="Arial"/>
                <w:sz w:val="20"/>
              </w:rPr>
              <w:t>assist</w:t>
            </w:r>
            <w:r w:rsidR="00471E1E">
              <w:rPr>
                <w:rFonts w:cs="Arial"/>
                <w:sz w:val="20"/>
              </w:rPr>
              <w:t>ing</w:t>
            </w:r>
            <w:r w:rsidRPr="00D361AA">
              <w:rPr>
                <w:rFonts w:cs="Arial"/>
                <w:sz w:val="20"/>
              </w:rPr>
              <w:t xml:space="preserve"> and direct</w:t>
            </w:r>
            <w:r w:rsidR="00471E1E">
              <w:rPr>
                <w:rFonts w:cs="Arial"/>
                <w:sz w:val="20"/>
              </w:rPr>
              <w:t>ing</w:t>
            </w:r>
            <w:r w:rsidRPr="00D361AA">
              <w:rPr>
                <w:rFonts w:cs="Arial"/>
                <w:sz w:val="20"/>
              </w:rPr>
              <w:t xml:space="preserve"> visitors and contractors.</w:t>
            </w:r>
            <w:r w:rsidR="003B1554">
              <w:rPr>
                <w:rFonts w:cs="Arial"/>
                <w:sz w:val="20"/>
              </w:rPr>
              <w:t xml:space="preserve"> </w:t>
            </w:r>
            <w:r w:rsidRPr="00D361AA">
              <w:rPr>
                <w:rFonts w:cs="Arial"/>
                <w:sz w:val="20"/>
              </w:rPr>
              <w:t xml:space="preserve">The supplier will respond immediately to any breach of security with appropriate action being instigated and resolved within a timely fashion. </w:t>
            </w:r>
          </w:p>
          <w:p w14:paraId="5EAFD488" w14:textId="77777777" w:rsidR="0077626D" w:rsidRPr="00D361AA" w:rsidRDefault="0077626D" w:rsidP="0077626D">
            <w:pPr>
              <w:pStyle w:val="TableNormal1"/>
              <w:jc w:val="left"/>
              <w:rPr>
                <w:rFonts w:cs="Arial"/>
                <w:sz w:val="20"/>
              </w:rPr>
            </w:pPr>
            <w:r w:rsidRPr="00D361AA">
              <w:rPr>
                <w:rFonts w:cs="Arial"/>
                <w:sz w:val="20"/>
              </w:rPr>
              <w:t>The supplier will control access to car parking to maintain the security of the Sites and prevent unauthorised access.</w:t>
            </w:r>
          </w:p>
          <w:p w14:paraId="1A793EF3" w14:textId="63905535"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 xml:space="preserve">The </w:t>
            </w:r>
            <w:r w:rsidR="00104621">
              <w:rPr>
                <w:rFonts w:ascii="Arial" w:hAnsi="Arial" w:cs="Arial"/>
                <w:sz w:val="20"/>
              </w:rPr>
              <w:t>supplier</w:t>
            </w:r>
            <w:r w:rsidRPr="00D361AA">
              <w:rPr>
                <w:rFonts w:ascii="Arial" w:hAnsi="Arial" w:cs="Arial"/>
                <w:sz w:val="20"/>
              </w:rPr>
              <w:t xml:space="preserve"> will maintain access and egress for emergency vehicles.</w:t>
            </w:r>
          </w:p>
        </w:tc>
      </w:tr>
      <w:tr w:rsidR="0077626D" w:rsidRPr="00D361AA" w14:paraId="687564C7" w14:textId="77777777" w:rsidTr="0077626D">
        <w:tc>
          <w:tcPr>
            <w:tcW w:w="3828" w:type="dxa"/>
            <w:shd w:val="clear" w:color="auto" w:fill="auto"/>
          </w:tcPr>
          <w:p w14:paraId="54A010C6" w14:textId="77777777" w:rsidR="0077626D" w:rsidRPr="00D361AA" w:rsidRDefault="0077626D" w:rsidP="0077626D">
            <w:pPr>
              <w:pStyle w:val="TableNormal1"/>
              <w:jc w:val="left"/>
              <w:rPr>
                <w:rFonts w:cs="Arial"/>
                <w:sz w:val="20"/>
              </w:rPr>
            </w:pPr>
            <w:r w:rsidRPr="00D361AA">
              <w:rPr>
                <w:rFonts w:cs="Arial"/>
                <w:sz w:val="20"/>
              </w:rPr>
              <w:t xml:space="preserve">Operating, </w:t>
            </w:r>
            <w:proofErr w:type="gramStart"/>
            <w:r w:rsidRPr="00D361AA">
              <w:rPr>
                <w:rFonts w:cs="Arial"/>
                <w:sz w:val="20"/>
              </w:rPr>
              <w:t>monitoring</w:t>
            </w:r>
            <w:proofErr w:type="gramEnd"/>
            <w:r w:rsidRPr="00D361AA">
              <w:rPr>
                <w:rFonts w:cs="Arial"/>
                <w:sz w:val="20"/>
              </w:rPr>
              <w:t xml:space="preserve"> and responding to all alarms and CCTV.</w:t>
            </w:r>
          </w:p>
          <w:p w14:paraId="1BB06F06" w14:textId="77777777" w:rsidR="0077626D" w:rsidRPr="00D361AA" w:rsidRDefault="0077626D" w:rsidP="0077626D">
            <w:pPr>
              <w:tabs>
                <w:tab w:val="left" w:pos="1440"/>
              </w:tabs>
              <w:spacing w:after="220"/>
              <w:rPr>
                <w:rFonts w:ascii="Arial" w:hAnsi="Arial" w:cs="Arial"/>
                <w:sz w:val="20"/>
              </w:rPr>
            </w:pPr>
          </w:p>
        </w:tc>
        <w:tc>
          <w:tcPr>
            <w:tcW w:w="6662" w:type="dxa"/>
            <w:shd w:val="clear" w:color="auto" w:fill="auto"/>
          </w:tcPr>
          <w:p w14:paraId="5A9FECA7" w14:textId="77777777" w:rsidR="0077626D" w:rsidRPr="00D361AA" w:rsidRDefault="0077626D" w:rsidP="0077626D">
            <w:pPr>
              <w:pStyle w:val="TableNormal1"/>
              <w:jc w:val="left"/>
              <w:rPr>
                <w:rFonts w:cs="Arial"/>
                <w:sz w:val="20"/>
              </w:rPr>
            </w:pPr>
            <w:r w:rsidRPr="00D361AA">
              <w:rPr>
                <w:rFonts w:cs="Arial"/>
                <w:sz w:val="20"/>
              </w:rPr>
              <w:t>The supplier will monitor all alarm and CCTV systems as required by the assignment instructions and to meet the ACPO Code of Practice.</w:t>
            </w:r>
          </w:p>
          <w:p w14:paraId="4446BAB4"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 xml:space="preserve">The supplier will take appropriate action in the event of any incident.  </w:t>
            </w:r>
          </w:p>
        </w:tc>
      </w:tr>
      <w:tr w:rsidR="0077626D" w:rsidRPr="00D361AA" w14:paraId="37656C9D" w14:textId="77777777" w:rsidTr="0077626D">
        <w:tc>
          <w:tcPr>
            <w:tcW w:w="3828" w:type="dxa"/>
            <w:shd w:val="clear" w:color="auto" w:fill="auto"/>
          </w:tcPr>
          <w:p w14:paraId="7AA81AE1"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Patrolling internal/external areas.</w:t>
            </w:r>
          </w:p>
        </w:tc>
        <w:tc>
          <w:tcPr>
            <w:tcW w:w="6662" w:type="dxa"/>
            <w:shd w:val="clear" w:color="auto" w:fill="auto"/>
          </w:tcPr>
          <w:p w14:paraId="1E1C1BDB"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The supplier will perform all activities in accordance with assignment instructions.</w:t>
            </w:r>
          </w:p>
        </w:tc>
      </w:tr>
      <w:tr w:rsidR="0077626D" w:rsidRPr="00D361AA" w14:paraId="7E00AA48" w14:textId="77777777" w:rsidTr="0077626D">
        <w:tc>
          <w:tcPr>
            <w:tcW w:w="3828" w:type="dxa"/>
            <w:shd w:val="clear" w:color="auto" w:fill="auto"/>
          </w:tcPr>
          <w:p w14:paraId="49048486"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Fire/bomb emergency control/co-ordination.</w:t>
            </w:r>
          </w:p>
        </w:tc>
        <w:tc>
          <w:tcPr>
            <w:tcW w:w="6662" w:type="dxa"/>
            <w:shd w:val="clear" w:color="auto" w:fill="auto"/>
          </w:tcPr>
          <w:p w14:paraId="4D5CD914"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The supplier will perform all activities in accordance with assignment instructions.</w:t>
            </w:r>
          </w:p>
        </w:tc>
      </w:tr>
      <w:tr w:rsidR="0077626D" w:rsidRPr="00D361AA" w14:paraId="3A0DB1AF" w14:textId="77777777" w:rsidTr="0077626D">
        <w:tc>
          <w:tcPr>
            <w:tcW w:w="3828" w:type="dxa"/>
            <w:shd w:val="clear" w:color="auto" w:fill="auto"/>
          </w:tcPr>
          <w:p w14:paraId="7A917A13" w14:textId="77777777"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Compliance with state of alert procedures.</w:t>
            </w:r>
          </w:p>
        </w:tc>
        <w:tc>
          <w:tcPr>
            <w:tcW w:w="6662" w:type="dxa"/>
            <w:shd w:val="clear" w:color="auto" w:fill="auto"/>
          </w:tcPr>
          <w:p w14:paraId="3A0516BA" w14:textId="7F30EF67" w:rsidR="0077626D" w:rsidRPr="00D361AA" w:rsidRDefault="0077626D" w:rsidP="0077626D">
            <w:pPr>
              <w:pStyle w:val="TableNormal1"/>
              <w:jc w:val="left"/>
              <w:rPr>
                <w:rFonts w:cs="Arial"/>
                <w:sz w:val="20"/>
              </w:rPr>
            </w:pPr>
            <w:r w:rsidRPr="00D361AA">
              <w:rPr>
                <w:rFonts w:cs="Arial"/>
                <w:sz w:val="20"/>
              </w:rPr>
              <w:t>The C</w:t>
            </w:r>
            <w:r w:rsidR="007A4528">
              <w:rPr>
                <w:rFonts w:cs="Arial"/>
                <w:sz w:val="20"/>
              </w:rPr>
              <w:t>ustomer</w:t>
            </w:r>
            <w:r w:rsidRPr="00D361AA">
              <w:rPr>
                <w:rFonts w:cs="Arial"/>
                <w:sz w:val="20"/>
              </w:rPr>
              <w:t xml:space="preserve"> will notify the supplier which level of state of alert is in force at a given time.</w:t>
            </w:r>
          </w:p>
          <w:p w14:paraId="70459FBB" w14:textId="3D40B6E6" w:rsidR="0077626D" w:rsidRPr="00D361AA" w:rsidRDefault="0077626D" w:rsidP="0077626D">
            <w:pPr>
              <w:tabs>
                <w:tab w:val="left" w:pos="1440"/>
              </w:tabs>
              <w:spacing w:after="220"/>
              <w:rPr>
                <w:rFonts w:ascii="Arial" w:hAnsi="Arial" w:cs="Arial"/>
                <w:sz w:val="20"/>
              </w:rPr>
            </w:pPr>
            <w:r w:rsidRPr="00D361AA">
              <w:rPr>
                <w:rFonts w:ascii="Arial" w:hAnsi="Arial" w:cs="Arial"/>
                <w:sz w:val="20"/>
              </w:rPr>
              <w:t xml:space="preserve">The supplier will immediately implement the appropriate change in security measures and ensure that security appropriate to the given level is </w:t>
            </w:r>
            <w:proofErr w:type="gramStart"/>
            <w:r w:rsidRPr="00D361AA">
              <w:rPr>
                <w:rFonts w:ascii="Arial" w:hAnsi="Arial" w:cs="Arial"/>
                <w:sz w:val="20"/>
              </w:rPr>
              <w:t>provided at all times</w:t>
            </w:r>
            <w:proofErr w:type="gramEnd"/>
            <w:r w:rsidRPr="00D361AA">
              <w:rPr>
                <w:rFonts w:ascii="Arial" w:hAnsi="Arial" w:cs="Arial"/>
                <w:sz w:val="20"/>
              </w:rPr>
              <w:t>.</w:t>
            </w:r>
            <w:r w:rsidR="00BD0DD2">
              <w:rPr>
                <w:rFonts w:ascii="Arial" w:hAnsi="Arial" w:cs="Arial"/>
                <w:sz w:val="20"/>
              </w:rPr>
              <w:t xml:space="preserve"> S</w:t>
            </w:r>
            <w:r w:rsidRPr="00D361AA">
              <w:rPr>
                <w:rFonts w:ascii="Arial" w:hAnsi="Arial" w:cs="Arial"/>
                <w:sz w:val="20"/>
              </w:rPr>
              <w:t>upplier will operate these procedures to the standard specified by the C</w:t>
            </w:r>
            <w:r w:rsidR="007A4528">
              <w:rPr>
                <w:rFonts w:ascii="Arial" w:hAnsi="Arial" w:cs="Arial"/>
                <w:sz w:val="20"/>
              </w:rPr>
              <w:t>ustomer</w:t>
            </w:r>
            <w:r w:rsidRPr="00D361AA">
              <w:rPr>
                <w:rFonts w:ascii="Arial" w:hAnsi="Arial" w:cs="Arial"/>
                <w:sz w:val="20"/>
              </w:rPr>
              <w:t>.</w:t>
            </w:r>
          </w:p>
        </w:tc>
      </w:tr>
    </w:tbl>
    <w:p w14:paraId="300998B6" w14:textId="7B5CCAA3" w:rsidR="0026690B" w:rsidRPr="003A60EE" w:rsidRDefault="0077626D" w:rsidP="006D7B37">
      <w:pPr>
        <w:rPr>
          <w:rFonts w:ascii="Arial" w:hAnsi="Arial" w:cs="Arial"/>
          <w:b/>
          <w:bCs/>
          <w:i/>
          <w:iCs/>
          <w:color w:val="000000" w:themeColor="text1"/>
          <w:sz w:val="20"/>
        </w:rPr>
      </w:pPr>
      <w:r w:rsidRPr="003A60EE">
        <w:rPr>
          <w:rFonts w:ascii="Arial" w:hAnsi="Arial" w:cs="Arial"/>
          <w:b/>
          <w:bCs/>
          <w:color w:val="000000" w:themeColor="text1"/>
          <w:sz w:val="20"/>
        </w:rPr>
        <w:t xml:space="preserve"> </w:t>
      </w:r>
    </w:p>
    <w:p w14:paraId="3C114ECA" w14:textId="77777777" w:rsidR="007B4908" w:rsidRPr="00F27EBC" w:rsidRDefault="007B4908" w:rsidP="007B4908">
      <w:pPr>
        <w:pStyle w:val="NormalWeb"/>
        <w:rPr>
          <w:rFonts w:asciiTheme="minorHAnsi" w:hAnsiTheme="minorHAnsi"/>
          <w:sz w:val="22"/>
        </w:rPr>
      </w:pPr>
    </w:p>
    <w:p w14:paraId="1D5550B2" w14:textId="77777777" w:rsidR="007B4908" w:rsidRDefault="007B4908" w:rsidP="007B4908">
      <w:pPr>
        <w:jc w:val="both"/>
        <w:rPr>
          <w:rFonts w:cs="Tahoma"/>
          <w:b/>
          <w:bCs/>
          <w:u w:val="single"/>
        </w:rPr>
      </w:pPr>
      <w:r w:rsidRPr="0091012E">
        <w:rPr>
          <w:rFonts w:cs="Tahoma"/>
          <w:b/>
          <w:bCs/>
          <w:u w:val="single"/>
        </w:rPr>
        <w:t>Estimated Contract Timings</w:t>
      </w:r>
    </w:p>
    <w:p w14:paraId="084C5CFB" w14:textId="188686BA" w:rsidR="007B4908" w:rsidRDefault="000B6D2C" w:rsidP="007F420E">
      <w:pPr>
        <w:pStyle w:val="NormalWeb"/>
        <w:rPr>
          <w:rFonts w:asciiTheme="minorHAnsi" w:hAnsiTheme="minorHAnsi" w:cs="Tahoma"/>
          <w:b/>
          <w:szCs w:val="20"/>
        </w:rPr>
      </w:pPr>
      <w:r>
        <w:rPr>
          <w:rFonts w:asciiTheme="minorHAnsi" w:hAnsiTheme="minorHAnsi" w:cs="Tahoma"/>
          <w:b/>
          <w:szCs w:val="20"/>
        </w:rPr>
        <w:object w:dxaOrig="1508" w:dyaOrig="983" w14:anchorId="7BEB4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0" o:title=""/>
          </v:shape>
          <o:OLEObject Type="Embed" ProgID="Word.Document.12" ShapeID="_x0000_i1027" DrawAspect="Icon" ObjectID="_1758433021" r:id="rId11">
            <o:FieldCodes>\s</o:FieldCodes>
          </o:OLEObject>
        </w:object>
      </w:r>
    </w:p>
    <w:p w14:paraId="47950BB6" w14:textId="77777777" w:rsidR="007F420E" w:rsidRPr="00DC6C90" w:rsidRDefault="007F420E" w:rsidP="007F420E">
      <w:pPr>
        <w:pStyle w:val="NormalWeb"/>
        <w:rPr>
          <w:rFonts w:asciiTheme="minorHAnsi" w:hAnsiTheme="minorHAnsi" w:cs="Tahoma"/>
          <w:b/>
          <w:szCs w:val="20"/>
        </w:rPr>
      </w:pPr>
    </w:p>
    <w:p w14:paraId="7497C7E5" w14:textId="77777777" w:rsidR="007B4908" w:rsidRPr="00F25E58" w:rsidRDefault="007B4908" w:rsidP="007B4908">
      <w:pPr>
        <w:jc w:val="both"/>
        <w:rPr>
          <w:rFonts w:cs="Tahoma"/>
          <w:bCs/>
          <w:color w:val="FF0000"/>
          <w:u w:val="single"/>
        </w:rPr>
      </w:pPr>
      <w:r w:rsidRPr="0091012E">
        <w:rPr>
          <w:rFonts w:cs="Tahoma"/>
          <w:b/>
          <w:bCs/>
          <w:u w:val="single"/>
        </w:rPr>
        <w:t>Tender Assessment</w:t>
      </w:r>
      <w:r>
        <w:rPr>
          <w:rFonts w:cs="Tahoma"/>
          <w:b/>
          <w:bCs/>
          <w:u w:val="single"/>
        </w:rPr>
        <w:t xml:space="preserve"> / Evaluation</w:t>
      </w:r>
    </w:p>
    <w:p w14:paraId="7DDC9DAA" w14:textId="77777777" w:rsidR="007B4908" w:rsidRDefault="007B4908" w:rsidP="007B4908">
      <w:pPr>
        <w:jc w:val="both"/>
        <w:rPr>
          <w:rFonts w:cs="Arial"/>
          <w:b/>
          <w:color w:val="FF0000"/>
          <w:sz w:val="22"/>
        </w:rPr>
      </w:pPr>
    </w:p>
    <w:p w14:paraId="13997E2B" w14:textId="77777777" w:rsidR="007B4908" w:rsidRPr="00284310" w:rsidRDefault="007B4908" w:rsidP="007B4908">
      <w:pPr>
        <w:jc w:val="both"/>
        <w:rPr>
          <w:rFonts w:cs="Tahoma"/>
          <w:sz w:val="20"/>
        </w:rPr>
      </w:pPr>
      <w:r w:rsidRPr="00284310">
        <w:rPr>
          <w:rFonts w:cs="Tahoma"/>
          <w:sz w:val="20"/>
        </w:rPr>
        <w:t>The award will be based upon price &amp; quality ratio. It is the intent that the award will deliver to NGN the total best value.</w:t>
      </w:r>
    </w:p>
    <w:p w14:paraId="0289F165" w14:textId="77777777" w:rsidR="007B4908" w:rsidRPr="00284310" w:rsidRDefault="007B4908" w:rsidP="007B4908">
      <w:pPr>
        <w:jc w:val="both"/>
        <w:rPr>
          <w:rFonts w:cs="Tahoma"/>
          <w:sz w:val="20"/>
        </w:rPr>
      </w:pPr>
    </w:p>
    <w:p w14:paraId="00FE64E5" w14:textId="7703C0B4" w:rsidR="007B4908" w:rsidRPr="00284310" w:rsidRDefault="007B4908" w:rsidP="007B4908">
      <w:pPr>
        <w:jc w:val="both"/>
        <w:rPr>
          <w:rFonts w:cs="Tahoma"/>
          <w:sz w:val="20"/>
        </w:rPr>
      </w:pPr>
      <w:r w:rsidRPr="00284310">
        <w:rPr>
          <w:rFonts w:cs="Tahoma"/>
          <w:sz w:val="20"/>
        </w:rPr>
        <w:t xml:space="preserve">The evaluation </w:t>
      </w:r>
      <w:r>
        <w:rPr>
          <w:rFonts w:cs="Tahoma"/>
          <w:sz w:val="20"/>
        </w:rPr>
        <w:t xml:space="preserve">criteria </w:t>
      </w:r>
      <w:proofErr w:type="gramStart"/>
      <w:r>
        <w:rPr>
          <w:rFonts w:cs="Tahoma"/>
          <w:sz w:val="20"/>
        </w:rPr>
        <w:t>is</w:t>
      </w:r>
      <w:proofErr w:type="gramEnd"/>
      <w:r>
        <w:rPr>
          <w:rFonts w:cs="Tahoma"/>
          <w:sz w:val="20"/>
        </w:rPr>
        <w:t xml:space="preserve"> </w:t>
      </w:r>
      <w:r w:rsidR="005F68DC" w:rsidRPr="005F68DC">
        <w:rPr>
          <w:rFonts w:cs="Tahoma"/>
          <w:sz w:val="20"/>
        </w:rPr>
        <w:t>50</w:t>
      </w:r>
      <w:r w:rsidRPr="005F68DC">
        <w:rPr>
          <w:rFonts w:cs="Tahoma"/>
          <w:sz w:val="20"/>
        </w:rPr>
        <w:t xml:space="preserve">% commercial, </w:t>
      </w:r>
      <w:r w:rsidR="005F68DC" w:rsidRPr="005F68DC">
        <w:rPr>
          <w:rFonts w:cs="Tahoma"/>
          <w:sz w:val="20"/>
        </w:rPr>
        <w:t>50</w:t>
      </w:r>
      <w:r w:rsidRPr="005F68DC">
        <w:rPr>
          <w:rFonts w:cs="Tahoma"/>
          <w:sz w:val="20"/>
        </w:rPr>
        <w:t xml:space="preserve">% </w:t>
      </w:r>
      <w:r>
        <w:rPr>
          <w:rFonts w:cs="Tahoma"/>
          <w:sz w:val="20"/>
        </w:rPr>
        <w:t>non-commercial</w:t>
      </w:r>
      <w:r w:rsidRPr="00284310">
        <w:rPr>
          <w:rFonts w:cs="Tahoma"/>
          <w:sz w:val="20"/>
        </w:rPr>
        <w:t>. The individual score for each section is indicated against the questions in the evaluation</w:t>
      </w:r>
      <w:r>
        <w:rPr>
          <w:rFonts w:cs="Tahoma"/>
          <w:sz w:val="20"/>
        </w:rPr>
        <w:t xml:space="preserve"> criteria</w:t>
      </w:r>
      <w:r w:rsidRPr="00284310">
        <w:rPr>
          <w:rFonts w:cs="Tahoma"/>
          <w:sz w:val="20"/>
        </w:rPr>
        <w:t xml:space="preserve"> document.</w:t>
      </w:r>
    </w:p>
    <w:p w14:paraId="3A715752" w14:textId="77777777" w:rsidR="007B4908" w:rsidRPr="00284310" w:rsidRDefault="007B4908" w:rsidP="007B4908">
      <w:pPr>
        <w:jc w:val="both"/>
        <w:rPr>
          <w:rFonts w:cs="Tahoma"/>
          <w:sz w:val="20"/>
        </w:rPr>
      </w:pPr>
    </w:p>
    <w:p w14:paraId="292FC31F" w14:textId="77777777" w:rsidR="007B4908" w:rsidRPr="00284310" w:rsidRDefault="007B4908" w:rsidP="007B4908">
      <w:pPr>
        <w:jc w:val="both"/>
        <w:rPr>
          <w:rFonts w:cs="Tahoma"/>
          <w:sz w:val="20"/>
        </w:rPr>
      </w:pPr>
      <w:r w:rsidRPr="00284310">
        <w:rPr>
          <w:rFonts w:cs="Tahoma"/>
          <w:sz w:val="20"/>
        </w:rPr>
        <w:t>The assessment of price will be carried out independently of the quality assessment and score</w:t>
      </w:r>
      <w:r>
        <w:rPr>
          <w:rFonts w:cs="Tahoma"/>
          <w:sz w:val="20"/>
        </w:rPr>
        <w:t>d</w:t>
      </w:r>
      <w:r w:rsidRPr="00284310">
        <w:rPr>
          <w:rFonts w:cs="Tahoma"/>
          <w:sz w:val="20"/>
        </w:rPr>
        <w:t xml:space="preserve"> against the methodology stated in the evaluation criteria document</w:t>
      </w:r>
      <w:r>
        <w:rPr>
          <w:rFonts w:cs="Tahoma"/>
          <w:sz w:val="20"/>
        </w:rPr>
        <w:t>.</w:t>
      </w:r>
    </w:p>
    <w:p w14:paraId="1D0E166D" w14:textId="6D204E95" w:rsidR="007B4908" w:rsidRPr="00284310" w:rsidRDefault="007B4908" w:rsidP="007B4908">
      <w:pPr>
        <w:jc w:val="both"/>
        <w:rPr>
          <w:rFonts w:cs="Tahoma"/>
          <w:sz w:val="20"/>
        </w:rPr>
      </w:pPr>
    </w:p>
    <w:p w14:paraId="64AF5087" w14:textId="0B739C2C" w:rsidR="007B4908" w:rsidRDefault="007B4908" w:rsidP="007B4908">
      <w:pPr>
        <w:jc w:val="both"/>
        <w:rPr>
          <w:rFonts w:cs="Tahoma"/>
          <w:sz w:val="20"/>
        </w:rPr>
      </w:pPr>
    </w:p>
    <w:p w14:paraId="5FC4B420" w14:textId="6CABF743" w:rsidR="00AD5A23" w:rsidRDefault="00AD5A23" w:rsidP="00AD5A23">
      <w:pPr>
        <w:pStyle w:val="paragraph"/>
        <w:spacing w:before="0" w:beforeAutospacing="0" w:after="0" w:afterAutospacing="0"/>
        <w:jc w:val="both"/>
        <w:textAlignment w:val="baseline"/>
        <w:rPr>
          <w:rStyle w:val="normaltextrun"/>
          <w:rFonts w:ascii="Arial" w:eastAsiaTheme="minorEastAsia" w:hAnsi="Arial" w:cs="Arial"/>
          <w:color w:val="000000"/>
          <w:sz w:val="20"/>
          <w:szCs w:val="20"/>
          <w:shd w:val="clear" w:color="auto" w:fill="FFFFFF"/>
          <w:lang w:eastAsia="zh-CN"/>
        </w:rPr>
      </w:pPr>
      <w:r>
        <w:rPr>
          <w:rStyle w:val="normaltextrun"/>
          <w:rFonts w:ascii="Arial" w:eastAsiaTheme="minorEastAsia" w:hAnsi="Arial" w:cs="Arial"/>
          <w:color w:val="000000"/>
          <w:sz w:val="20"/>
          <w:szCs w:val="20"/>
          <w:shd w:val="clear" w:color="auto" w:fill="FFFFFF"/>
          <w:lang w:eastAsia="zh-CN"/>
        </w:rPr>
        <w:t>Important Note</w:t>
      </w:r>
    </w:p>
    <w:p w14:paraId="45974930" w14:textId="77777777" w:rsidR="00AD5A23" w:rsidRPr="00AD5A23" w:rsidRDefault="00AD5A23" w:rsidP="00AD5A23">
      <w:pPr>
        <w:pStyle w:val="paragraph"/>
        <w:spacing w:before="0" w:beforeAutospacing="0" w:after="0" w:afterAutospacing="0"/>
        <w:jc w:val="both"/>
        <w:textAlignment w:val="baseline"/>
        <w:rPr>
          <w:rStyle w:val="normaltextrun"/>
          <w:rFonts w:asciiTheme="minorHAnsi" w:eastAsiaTheme="minorEastAsia" w:hAnsiTheme="minorHAnsi" w:cstheme="minorHAnsi"/>
          <w:color w:val="000000"/>
          <w:sz w:val="20"/>
          <w:szCs w:val="20"/>
          <w:shd w:val="clear" w:color="auto" w:fill="FFFFFF"/>
          <w:lang w:eastAsia="zh-CN"/>
        </w:rPr>
      </w:pPr>
    </w:p>
    <w:p w14:paraId="3800F424" w14:textId="5BDA4638" w:rsidR="00AD5A23" w:rsidRPr="00AD5A23" w:rsidRDefault="00AD5A23" w:rsidP="00AD5A23">
      <w:pPr>
        <w:pStyle w:val="paragraph"/>
        <w:spacing w:before="0" w:beforeAutospacing="0" w:after="0" w:afterAutospacing="0"/>
        <w:jc w:val="both"/>
        <w:textAlignment w:val="baseline"/>
        <w:rPr>
          <w:rFonts w:asciiTheme="minorHAnsi" w:eastAsiaTheme="minorEastAsia" w:hAnsiTheme="minorHAnsi" w:cstheme="minorHAnsi"/>
          <w:sz w:val="20"/>
          <w:szCs w:val="20"/>
          <w:lang w:val="en-US"/>
        </w:rPr>
      </w:pPr>
      <w:r w:rsidRPr="00AD5A23">
        <w:rPr>
          <w:rStyle w:val="normaltextrun"/>
          <w:rFonts w:asciiTheme="minorHAnsi" w:eastAsiaTheme="minorEastAsia" w:hAnsiTheme="minorHAnsi" w:cstheme="minorHAnsi"/>
          <w:color w:val="000000"/>
          <w:sz w:val="20"/>
          <w:szCs w:val="20"/>
          <w:shd w:val="clear" w:color="auto" w:fill="FFFFFF"/>
          <w:lang w:eastAsia="zh-CN"/>
        </w:rPr>
        <w:t xml:space="preserve">If </w:t>
      </w:r>
      <w:r w:rsidRPr="00AD5A23">
        <w:rPr>
          <w:rFonts w:asciiTheme="minorHAnsi" w:eastAsiaTheme="minorEastAsia" w:hAnsiTheme="minorHAnsi" w:cstheme="minorHAnsi"/>
          <w:sz w:val="20"/>
          <w:szCs w:val="20"/>
          <w:lang w:val="en-US"/>
        </w:rPr>
        <w:t>the difference between the first and second highest scoring bidder is less than 3% NGN reserves the right to award the tender to the bidder who provides the lowest price tender unless there are exceptional reasons. </w:t>
      </w:r>
    </w:p>
    <w:p w14:paraId="17A2CE8A" w14:textId="77777777" w:rsidR="00AD5A23" w:rsidRPr="00AD5A23" w:rsidRDefault="00AD5A23" w:rsidP="00AD5A23">
      <w:pPr>
        <w:pStyle w:val="paragraph"/>
        <w:spacing w:before="0" w:beforeAutospacing="0" w:after="0" w:afterAutospacing="0"/>
        <w:textAlignment w:val="baseline"/>
        <w:rPr>
          <w:rStyle w:val="normaltextrun"/>
          <w:rFonts w:asciiTheme="minorHAnsi" w:eastAsiaTheme="minorEastAsia" w:hAnsiTheme="minorHAnsi" w:cstheme="minorHAnsi"/>
          <w:color w:val="000000"/>
          <w:sz w:val="20"/>
          <w:szCs w:val="20"/>
          <w:shd w:val="clear" w:color="auto" w:fill="FFFFFF"/>
          <w:lang w:eastAsia="zh-CN"/>
        </w:rPr>
      </w:pPr>
      <w:r w:rsidRPr="00AD5A23">
        <w:rPr>
          <w:rStyle w:val="normaltextrun"/>
          <w:rFonts w:asciiTheme="minorHAnsi" w:eastAsiaTheme="minorEastAsia" w:hAnsiTheme="minorHAnsi" w:cstheme="minorHAnsi"/>
          <w:color w:val="000000"/>
          <w:sz w:val="20"/>
          <w:szCs w:val="20"/>
          <w:shd w:val="clear" w:color="auto" w:fill="FFFFFF"/>
          <w:lang w:eastAsia="zh-CN"/>
        </w:rPr>
        <w:t>  </w:t>
      </w:r>
    </w:p>
    <w:p w14:paraId="6D3B0924" w14:textId="0CDA9D06" w:rsidR="009A6C69" w:rsidRDefault="009A6C69" w:rsidP="007B4908">
      <w:pPr>
        <w:jc w:val="both"/>
        <w:rPr>
          <w:rFonts w:cs="Tahoma"/>
          <w:sz w:val="20"/>
        </w:rPr>
      </w:pPr>
    </w:p>
    <w:p w14:paraId="39C694DF" w14:textId="77777777" w:rsidR="009A6C69" w:rsidRPr="00284310" w:rsidRDefault="009A6C69" w:rsidP="007B4908">
      <w:pPr>
        <w:jc w:val="both"/>
        <w:rPr>
          <w:rFonts w:cs="Tahoma"/>
          <w:sz w:val="20"/>
        </w:rPr>
      </w:pPr>
    </w:p>
    <w:p w14:paraId="34B14387" w14:textId="77777777" w:rsidR="007B4908" w:rsidRDefault="007B4908" w:rsidP="007B4908">
      <w:pPr>
        <w:rPr>
          <w:rFonts w:cs="Tahoma"/>
          <w:b/>
          <w:color w:val="000000" w:themeColor="text1"/>
          <w:u w:val="single"/>
        </w:rPr>
      </w:pPr>
      <w:r>
        <w:rPr>
          <w:rFonts w:cs="Tahoma"/>
          <w:b/>
          <w:color w:val="000000" w:themeColor="text1"/>
          <w:u w:val="single"/>
        </w:rPr>
        <w:t xml:space="preserve">Evaluation Panel </w:t>
      </w:r>
    </w:p>
    <w:p w14:paraId="0F786EE2" w14:textId="77777777" w:rsidR="007B4908" w:rsidRDefault="007B4908" w:rsidP="007B4908">
      <w:pPr>
        <w:rPr>
          <w:rFonts w:cs="Tahoma"/>
          <w:b/>
          <w:color w:val="000000" w:themeColor="text1"/>
          <w:u w:val="single"/>
        </w:rPr>
      </w:pPr>
    </w:p>
    <w:p w14:paraId="1A42899A" w14:textId="77777777" w:rsidR="007B4908" w:rsidRPr="00D60A1F" w:rsidRDefault="007B4908" w:rsidP="007B4908">
      <w:pPr>
        <w:rPr>
          <w:rFonts w:ascii="Arial" w:hAnsi="Arial" w:cs="Arial"/>
          <w:b/>
          <w:sz w:val="20"/>
          <w:szCs w:val="20"/>
        </w:rPr>
      </w:pPr>
      <w:r w:rsidRPr="00D60A1F">
        <w:rPr>
          <w:rFonts w:ascii="Arial" w:hAnsi="Arial" w:cs="Arial"/>
          <w:b/>
          <w:sz w:val="20"/>
          <w:szCs w:val="20"/>
        </w:rPr>
        <w:t xml:space="preserve">2.7 Evaluation Panel </w:t>
      </w:r>
    </w:p>
    <w:p w14:paraId="05A5A6F3" w14:textId="77777777" w:rsidR="007B4908" w:rsidRDefault="007B4908" w:rsidP="007B4908">
      <w:pPr>
        <w:pStyle w:val="NormalWeb"/>
        <w:rPr>
          <w:rFonts w:cs="Arial"/>
          <w:szCs w:val="20"/>
        </w:rPr>
      </w:pPr>
      <w:r w:rsidRPr="00D60A1F">
        <w:rPr>
          <w:rFonts w:cs="Arial"/>
          <w:szCs w:val="20"/>
        </w:rPr>
        <w:t>NGN’s team to perform the evaluation of this tender process comprises the following:</w:t>
      </w:r>
    </w:p>
    <w:tbl>
      <w:tblPr>
        <w:tblStyle w:val="TableGrid"/>
        <w:tblW w:w="0" w:type="auto"/>
        <w:tblLook w:val="04A0" w:firstRow="1" w:lastRow="0" w:firstColumn="1" w:lastColumn="0" w:noHBand="0" w:noVBand="1"/>
      </w:tblPr>
      <w:tblGrid>
        <w:gridCol w:w="4505"/>
        <w:gridCol w:w="4505"/>
      </w:tblGrid>
      <w:tr w:rsidR="007B4908" w14:paraId="24A8417E" w14:textId="77777777" w:rsidTr="009D5102">
        <w:tc>
          <w:tcPr>
            <w:tcW w:w="4508" w:type="dxa"/>
            <w:shd w:val="clear" w:color="auto" w:fill="44546A" w:themeFill="text2"/>
          </w:tcPr>
          <w:p w14:paraId="3F026F20" w14:textId="77777777" w:rsidR="007B4908" w:rsidRPr="00D60A1F" w:rsidRDefault="007B4908" w:rsidP="009D5102">
            <w:pPr>
              <w:pStyle w:val="NormalWeb"/>
              <w:jc w:val="center"/>
              <w:rPr>
                <w:rFonts w:cs="Arial"/>
                <w:color w:val="FFFFFF" w:themeColor="background1"/>
                <w:szCs w:val="20"/>
              </w:rPr>
            </w:pPr>
            <w:r w:rsidRPr="00D60A1F">
              <w:rPr>
                <w:rFonts w:cs="Arial"/>
                <w:color w:val="FFFFFF" w:themeColor="background1"/>
                <w:szCs w:val="20"/>
              </w:rPr>
              <w:t>Name</w:t>
            </w:r>
          </w:p>
        </w:tc>
        <w:tc>
          <w:tcPr>
            <w:tcW w:w="4508" w:type="dxa"/>
            <w:shd w:val="clear" w:color="auto" w:fill="44546A" w:themeFill="text2"/>
          </w:tcPr>
          <w:p w14:paraId="5B6DF6F7" w14:textId="77777777" w:rsidR="007B4908" w:rsidRPr="00D60A1F" w:rsidRDefault="007B4908" w:rsidP="009D5102">
            <w:pPr>
              <w:pStyle w:val="NormalWeb"/>
              <w:jc w:val="center"/>
              <w:rPr>
                <w:rFonts w:cs="Arial"/>
                <w:color w:val="FFFFFF" w:themeColor="background1"/>
                <w:szCs w:val="20"/>
              </w:rPr>
            </w:pPr>
            <w:r w:rsidRPr="00D60A1F">
              <w:rPr>
                <w:rFonts w:cs="Arial"/>
                <w:color w:val="FFFFFF" w:themeColor="background1"/>
                <w:szCs w:val="20"/>
              </w:rPr>
              <w:t>Department</w:t>
            </w:r>
          </w:p>
        </w:tc>
      </w:tr>
      <w:tr w:rsidR="007B4908" w14:paraId="71E33578" w14:textId="77777777" w:rsidTr="009D5102">
        <w:tc>
          <w:tcPr>
            <w:tcW w:w="4508" w:type="dxa"/>
          </w:tcPr>
          <w:p w14:paraId="65E5377E" w14:textId="05C2E527" w:rsidR="007B4908" w:rsidRDefault="00374558" w:rsidP="009D5102">
            <w:pPr>
              <w:pStyle w:val="NormalWeb"/>
              <w:rPr>
                <w:rFonts w:cs="Arial"/>
                <w:szCs w:val="20"/>
              </w:rPr>
            </w:pPr>
            <w:r>
              <w:rPr>
                <w:rFonts w:cs="Arial"/>
                <w:szCs w:val="20"/>
              </w:rPr>
              <w:t>Harriet Wilkes</w:t>
            </w:r>
          </w:p>
        </w:tc>
        <w:tc>
          <w:tcPr>
            <w:tcW w:w="4508" w:type="dxa"/>
          </w:tcPr>
          <w:p w14:paraId="258EC9DF" w14:textId="68555B74" w:rsidR="007B4908" w:rsidRDefault="00374558" w:rsidP="009D5102">
            <w:pPr>
              <w:pStyle w:val="NormalWeb"/>
              <w:rPr>
                <w:rFonts w:cs="Arial"/>
                <w:szCs w:val="20"/>
              </w:rPr>
            </w:pPr>
            <w:r>
              <w:rPr>
                <w:rFonts w:cs="Arial"/>
                <w:szCs w:val="20"/>
              </w:rPr>
              <w:t>Procurement</w:t>
            </w:r>
          </w:p>
        </w:tc>
      </w:tr>
      <w:tr w:rsidR="007B4908" w14:paraId="36EE8573" w14:textId="77777777" w:rsidTr="009D5102">
        <w:tc>
          <w:tcPr>
            <w:tcW w:w="4508" w:type="dxa"/>
          </w:tcPr>
          <w:p w14:paraId="3487250B" w14:textId="1A3B5F2F" w:rsidR="007B4908" w:rsidRDefault="00374558" w:rsidP="009D5102">
            <w:pPr>
              <w:pStyle w:val="NormalWeb"/>
              <w:rPr>
                <w:rFonts w:cs="Arial"/>
                <w:szCs w:val="20"/>
              </w:rPr>
            </w:pPr>
            <w:r>
              <w:rPr>
                <w:rFonts w:cs="Arial"/>
                <w:szCs w:val="20"/>
              </w:rPr>
              <w:t xml:space="preserve">Alex Walsh </w:t>
            </w:r>
          </w:p>
        </w:tc>
        <w:tc>
          <w:tcPr>
            <w:tcW w:w="4508" w:type="dxa"/>
          </w:tcPr>
          <w:p w14:paraId="3FA4F8ED" w14:textId="599E2055" w:rsidR="007B4908" w:rsidRDefault="00374558" w:rsidP="009D5102">
            <w:pPr>
              <w:pStyle w:val="NormalWeb"/>
              <w:rPr>
                <w:rFonts w:cs="Arial"/>
                <w:szCs w:val="20"/>
              </w:rPr>
            </w:pPr>
            <w:r>
              <w:rPr>
                <w:rFonts w:cs="Arial"/>
                <w:szCs w:val="20"/>
              </w:rPr>
              <w:t>Legal</w:t>
            </w:r>
          </w:p>
        </w:tc>
      </w:tr>
      <w:tr w:rsidR="007B4908" w14:paraId="547DE342" w14:textId="77777777" w:rsidTr="009D5102">
        <w:tc>
          <w:tcPr>
            <w:tcW w:w="4508" w:type="dxa"/>
          </w:tcPr>
          <w:p w14:paraId="77824F16" w14:textId="743008DD" w:rsidR="007B4908" w:rsidRDefault="00374558" w:rsidP="009D5102">
            <w:pPr>
              <w:pStyle w:val="NormalWeb"/>
              <w:rPr>
                <w:rFonts w:cs="Arial"/>
                <w:szCs w:val="20"/>
              </w:rPr>
            </w:pPr>
            <w:r>
              <w:rPr>
                <w:rFonts w:cs="Arial"/>
                <w:szCs w:val="20"/>
              </w:rPr>
              <w:t>Chris Snowden</w:t>
            </w:r>
          </w:p>
        </w:tc>
        <w:tc>
          <w:tcPr>
            <w:tcW w:w="4508" w:type="dxa"/>
          </w:tcPr>
          <w:p w14:paraId="5D20F5AD" w14:textId="17EF269F" w:rsidR="007B4908" w:rsidRDefault="00374558" w:rsidP="009D5102">
            <w:pPr>
              <w:pStyle w:val="NormalWeb"/>
              <w:rPr>
                <w:rFonts w:cs="Arial"/>
                <w:szCs w:val="20"/>
              </w:rPr>
            </w:pPr>
            <w:r>
              <w:rPr>
                <w:rFonts w:cs="Arial"/>
                <w:szCs w:val="20"/>
              </w:rPr>
              <w:t>Facilities</w:t>
            </w:r>
          </w:p>
        </w:tc>
      </w:tr>
      <w:tr w:rsidR="007B4908" w14:paraId="5466ECBB" w14:textId="77777777" w:rsidTr="009D5102">
        <w:tc>
          <w:tcPr>
            <w:tcW w:w="4508" w:type="dxa"/>
          </w:tcPr>
          <w:p w14:paraId="7C844D04" w14:textId="2ED80C1F" w:rsidR="007B4908" w:rsidRDefault="00374558" w:rsidP="009D5102">
            <w:pPr>
              <w:pStyle w:val="NormalWeb"/>
              <w:rPr>
                <w:rFonts w:cs="Arial"/>
                <w:szCs w:val="20"/>
              </w:rPr>
            </w:pPr>
            <w:r>
              <w:rPr>
                <w:rFonts w:cs="Arial"/>
                <w:szCs w:val="20"/>
              </w:rPr>
              <w:t>Paul Bolton</w:t>
            </w:r>
          </w:p>
        </w:tc>
        <w:tc>
          <w:tcPr>
            <w:tcW w:w="4508" w:type="dxa"/>
          </w:tcPr>
          <w:p w14:paraId="7A8B7DD2" w14:textId="71B1FCDB" w:rsidR="007B4908" w:rsidRDefault="00374558" w:rsidP="009D5102">
            <w:pPr>
              <w:pStyle w:val="NormalWeb"/>
              <w:rPr>
                <w:rFonts w:cs="Arial"/>
                <w:szCs w:val="20"/>
              </w:rPr>
            </w:pPr>
            <w:r>
              <w:rPr>
                <w:rFonts w:cs="Arial"/>
                <w:szCs w:val="20"/>
              </w:rPr>
              <w:t>Facilities</w:t>
            </w:r>
          </w:p>
        </w:tc>
      </w:tr>
    </w:tbl>
    <w:p w14:paraId="0B949D20" w14:textId="77777777" w:rsidR="007B4908" w:rsidRDefault="007B4908" w:rsidP="007B4908">
      <w:pPr>
        <w:rPr>
          <w:rFonts w:cs="Tahoma"/>
          <w:b/>
          <w:color w:val="000000" w:themeColor="text1"/>
          <w:u w:val="single"/>
        </w:rPr>
      </w:pPr>
    </w:p>
    <w:p w14:paraId="5F5C8A46" w14:textId="77777777" w:rsidR="007B4908" w:rsidRDefault="007B4908" w:rsidP="007B4908">
      <w:pPr>
        <w:rPr>
          <w:rFonts w:cs="Tahoma"/>
          <w:b/>
          <w:color w:val="000000" w:themeColor="text1"/>
          <w:u w:val="single"/>
        </w:rPr>
      </w:pPr>
    </w:p>
    <w:p w14:paraId="7C317B5D" w14:textId="77777777" w:rsidR="007B4908" w:rsidRPr="00F64593" w:rsidRDefault="007B4908" w:rsidP="007B4908">
      <w:pPr>
        <w:rPr>
          <w:rFonts w:ascii="Arial" w:hAnsi="Arial" w:cs="Arial"/>
          <w:b/>
          <w:sz w:val="20"/>
          <w:szCs w:val="20"/>
        </w:rPr>
      </w:pPr>
      <w:r w:rsidRPr="00F64593">
        <w:rPr>
          <w:rFonts w:ascii="Arial" w:hAnsi="Arial" w:cs="Arial"/>
          <w:b/>
          <w:sz w:val="20"/>
          <w:szCs w:val="20"/>
        </w:rPr>
        <w:t xml:space="preserve">2.6 Scoring Methodology </w:t>
      </w:r>
    </w:p>
    <w:p w14:paraId="11569A1F" w14:textId="77777777" w:rsidR="007B4908" w:rsidRPr="00F64593" w:rsidRDefault="007B4908" w:rsidP="007B4908">
      <w:pPr>
        <w:rPr>
          <w:rFonts w:ascii="Arial" w:eastAsiaTheme="majorEastAsia" w:hAnsi="Arial" w:cs="Arial"/>
          <w:color w:val="2F5496" w:themeColor="accent1" w:themeShade="BF"/>
          <w:sz w:val="32"/>
          <w:szCs w:val="32"/>
        </w:rPr>
      </w:pPr>
    </w:p>
    <w:p w14:paraId="42634A23" w14:textId="77777777" w:rsidR="007B4908" w:rsidRPr="00F64593" w:rsidRDefault="007B4908" w:rsidP="007B4908">
      <w:pPr>
        <w:rPr>
          <w:rFonts w:ascii="Arial" w:hAnsi="Arial" w:cs="Arial"/>
          <w:sz w:val="20"/>
          <w:szCs w:val="20"/>
        </w:rPr>
      </w:pPr>
      <w:r w:rsidRPr="00F64593">
        <w:rPr>
          <w:rFonts w:ascii="Arial" w:hAnsi="Arial" w:cs="Arial"/>
          <w:sz w:val="20"/>
          <w:szCs w:val="20"/>
        </w:rPr>
        <w:t xml:space="preserve">For qualitative questions NGN will score on the following basis </w:t>
      </w:r>
    </w:p>
    <w:p w14:paraId="7620075D" w14:textId="77777777" w:rsidR="007B4908" w:rsidRDefault="007B4908" w:rsidP="007B4908">
      <w:pPr>
        <w:rPr>
          <w:sz w:val="20"/>
          <w:szCs w:val="20"/>
        </w:rPr>
      </w:pPr>
    </w:p>
    <w:p w14:paraId="45C77525" w14:textId="77777777" w:rsidR="007B4908" w:rsidRPr="00F64593" w:rsidRDefault="007B4908" w:rsidP="007B4908">
      <w:pPr>
        <w:rPr>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7B4908" w:rsidRPr="00080BBC" w14:paraId="32B5449E" w14:textId="77777777" w:rsidTr="009D5102">
        <w:trPr>
          <w:cantSplit/>
          <w:trHeight w:val="507"/>
        </w:trPr>
        <w:tc>
          <w:tcPr>
            <w:tcW w:w="1771" w:type="dxa"/>
            <w:shd w:val="clear" w:color="auto" w:fill="44546A" w:themeFill="text2"/>
            <w:vAlign w:val="center"/>
          </w:tcPr>
          <w:p w14:paraId="0FE5D7BF" w14:textId="77777777" w:rsidR="007B4908" w:rsidRPr="00087C47" w:rsidRDefault="007B4908" w:rsidP="009D5102">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7F9282EA" w14:textId="77777777" w:rsidR="007B4908" w:rsidRPr="00087C47" w:rsidRDefault="007B4908" w:rsidP="009D5102">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7B4908" w:rsidRPr="00080BBC" w14:paraId="4806BBDA" w14:textId="77777777" w:rsidTr="009D5102">
        <w:trPr>
          <w:cantSplit/>
        </w:trPr>
        <w:tc>
          <w:tcPr>
            <w:tcW w:w="1771" w:type="dxa"/>
            <w:vAlign w:val="center"/>
          </w:tcPr>
          <w:p w14:paraId="6F1633BE" w14:textId="10A070AB" w:rsidR="007B4908" w:rsidRPr="00080BBC" w:rsidRDefault="0097218E" w:rsidP="009D5102">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w:t>
            </w:r>
            <w:r w:rsidR="007B4908" w:rsidRPr="4BB99FC1">
              <w:rPr>
                <w:rFonts w:ascii="Arial" w:eastAsia="Arial" w:hAnsi="Arial" w:cs="Arial"/>
                <w:b/>
                <w:bCs/>
                <w:sz w:val="20"/>
              </w:rPr>
              <w:t>1</w:t>
            </w:r>
            <w:r>
              <w:rPr>
                <w:rFonts w:ascii="Arial" w:eastAsia="Arial" w:hAnsi="Arial" w:cs="Arial"/>
                <w:b/>
                <w:bCs/>
                <w:sz w:val="20"/>
              </w:rPr>
              <w:t>0</w:t>
            </w:r>
          </w:p>
        </w:tc>
        <w:tc>
          <w:tcPr>
            <w:tcW w:w="9003" w:type="dxa"/>
            <w:vAlign w:val="center"/>
          </w:tcPr>
          <w:p w14:paraId="41CBF1C4" w14:textId="77777777"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7B4908" w:rsidRPr="00080BBC" w14:paraId="078E163E" w14:textId="77777777" w:rsidTr="009D5102">
        <w:trPr>
          <w:cantSplit/>
        </w:trPr>
        <w:tc>
          <w:tcPr>
            <w:tcW w:w="1771" w:type="dxa"/>
            <w:vAlign w:val="center"/>
          </w:tcPr>
          <w:p w14:paraId="45617742" w14:textId="38DA8C0A" w:rsidR="007B4908" w:rsidRPr="00080BBC" w:rsidRDefault="00E8351E" w:rsidP="009D5102">
            <w:pPr>
              <w:tabs>
                <w:tab w:val="left" w:pos="1440"/>
              </w:tabs>
              <w:spacing w:after="240" w:line="360" w:lineRule="auto"/>
              <w:jc w:val="both"/>
              <w:rPr>
                <w:rFonts w:ascii="British Council Sans" w:eastAsia="British Council Sans" w:hAnsi="British Council Sans" w:cs="British Council Sans"/>
                <w:b/>
                <w:bCs/>
                <w:sz w:val="20"/>
              </w:rPr>
            </w:pPr>
            <w:r>
              <w:rPr>
                <w:rFonts w:ascii="Arial" w:eastAsia="Arial" w:hAnsi="Arial" w:cs="Arial"/>
                <w:b/>
                <w:bCs/>
                <w:sz w:val="20"/>
              </w:rPr>
              <w:t>6-</w:t>
            </w:r>
            <w:r w:rsidR="007B4908" w:rsidRPr="4BB99FC1">
              <w:rPr>
                <w:rFonts w:ascii="Arial" w:eastAsia="Arial" w:hAnsi="Arial" w:cs="Arial"/>
                <w:b/>
                <w:bCs/>
                <w:sz w:val="20"/>
              </w:rPr>
              <w:t>8</w:t>
            </w:r>
          </w:p>
        </w:tc>
        <w:tc>
          <w:tcPr>
            <w:tcW w:w="9003" w:type="dxa"/>
            <w:vAlign w:val="center"/>
          </w:tcPr>
          <w:p w14:paraId="4728E961" w14:textId="20E6928D"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00F31FF6">
              <w:rPr>
                <w:rFonts w:ascii="Arial" w:hAnsi="Arial" w:cs="Arial"/>
                <w:sz w:val="20"/>
                <w:szCs w:val="20"/>
                <w:lang w:eastAsia="en-GB"/>
              </w:rPr>
              <w:t>Overall the response demonstrates that the bidder meets all areas of the requirement and provides </w:t>
            </w:r>
            <w:proofErr w:type="gramStart"/>
            <w:r w:rsidR="00F31FF6">
              <w:rPr>
                <w:rFonts w:ascii="Arial" w:hAnsi="Arial" w:cs="Arial"/>
                <w:sz w:val="20"/>
                <w:szCs w:val="20"/>
                <w:lang w:eastAsia="en-GB"/>
              </w:rPr>
              <w:t>all of</w:t>
            </w:r>
            <w:proofErr w:type="gramEnd"/>
            <w:r w:rsidR="00F31FF6">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sidR="00A61682">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sidR="005E584D">
              <w:rPr>
                <w:rFonts w:ascii="Arial" w:eastAsia="Arial" w:hAnsi="Arial" w:cs="Arial"/>
                <w:sz w:val="20"/>
              </w:rPr>
              <w:t xml:space="preserve">which </w:t>
            </w:r>
            <w:r w:rsidR="00C22B38">
              <w:rPr>
                <w:rFonts w:ascii="Arial" w:eastAsia="Arial" w:hAnsi="Arial" w:cs="Arial"/>
                <w:sz w:val="20"/>
              </w:rPr>
              <w:t>but may</w:t>
            </w:r>
            <w:r w:rsidR="005E584D">
              <w:rPr>
                <w:rFonts w:ascii="Arial" w:eastAsia="Arial" w:hAnsi="Arial" w:cs="Arial"/>
                <w:sz w:val="20"/>
              </w:rPr>
              <w:t xml:space="preserve"> have a</w:t>
            </w:r>
            <w:r w:rsidRPr="4BB99FC1">
              <w:rPr>
                <w:rFonts w:ascii="Arial" w:eastAsia="Arial" w:hAnsi="Arial" w:cs="Arial"/>
                <w:sz w:val="20"/>
              </w:rPr>
              <w:t xml:space="preserve"> trivial level ambiguity due the bidder’s failure to provide all information at the level of detail requested. </w:t>
            </w:r>
          </w:p>
        </w:tc>
      </w:tr>
      <w:tr w:rsidR="007B4908" w:rsidRPr="00080BBC" w14:paraId="7A163A76" w14:textId="77777777" w:rsidTr="009D5102">
        <w:trPr>
          <w:cantSplit/>
        </w:trPr>
        <w:tc>
          <w:tcPr>
            <w:tcW w:w="1771" w:type="dxa"/>
            <w:vAlign w:val="center"/>
          </w:tcPr>
          <w:p w14:paraId="70F8007E" w14:textId="2162E1AA" w:rsidR="007B4908" w:rsidRPr="00080BBC" w:rsidRDefault="00E8351E" w:rsidP="009D5102">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3-</w:t>
            </w:r>
            <w:r w:rsidR="007B4908" w:rsidRPr="4BB99FC1">
              <w:rPr>
                <w:rFonts w:ascii="Arial" w:eastAsia="Arial" w:hAnsi="Arial" w:cs="Arial"/>
                <w:b/>
                <w:bCs/>
                <w:sz w:val="20"/>
              </w:rPr>
              <w:t>5</w:t>
            </w:r>
          </w:p>
        </w:tc>
        <w:tc>
          <w:tcPr>
            <w:tcW w:w="9003" w:type="dxa"/>
            <w:vAlign w:val="center"/>
          </w:tcPr>
          <w:p w14:paraId="7537D5E9" w14:textId="77777777"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7B4908" w:rsidRPr="00080BBC" w14:paraId="44D9D98F" w14:textId="77777777" w:rsidTr="009D5102">
        <w:trPr>
          <w:cantSplit/>
        </w:trPr>
        <w:tc>
          <w:tcPr>
            <w:tcW w:w="1771" w:type="dxa"/>
            <w:vAlign w:val="center"/>
          </w:tcPr>
          <w:p w14:paraId="41CDB395" w14:textId="0C753AFE" w:rsidR="007B4908" w:rsidRPr="00080BBC" w:rsidRDefault="00E8351E" w:rsidP="009D5102">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1-</w:t>
            </w:r>
            <w:r w:rsidR="007B4908" w:rsidRPr="4BB99FC1">
              <w:rPr>
                <w:rFonts w:ascii="Arial" w:eastAsia="Arial" w:hAnsi="Arial" w:cs="Arial"/>
                <w:b/>
                <w:bCs/>
                <w:sz w:val="20"/>
              </w:rPr>
              <w:t>2</w:t>
            </w:r>
          </w:p>
        </w:tc>
        <w:tc>
          <w:tcPr>
            <w:tcW w:w="9003" w:type="dxa"/>
            <w:vAlign w:val="center"/>
          </w:tcPr>
          <w:p w14:paraId="0B6F3891" w14:textId="77777777"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7B4908" w:rsidRPr="00080BBC" w14:paraId="4D96B6E1" w14:textId="77777777" w:rsidTr="009D5102">
        <w:trPr>
          <w:cantSplit/>
        </w:trPr>
        <w:tc>
          <w:tcPr>
            <w:tcW w:w="1771" w:type="dxa"/>
            <w:vAlign w:val="center"/>
          </w:tcPr>
          <w:p w14:paraId="747C1657" w14:textId="77777777"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 xml:space="preserve">0 </w:t>
            </w:r>
          </w:p>
        </w:tc>
        <w:tc>
          <w:tcPr>
            <w:tcW w:w="9003" w:type="dxa"/>
            <w:vAlign w:val="center"/>
          </w:tcPr>
          <w:p w14:paraId="57720E2D" w14:textId="77777777"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29F2AA1C" w14:textId="77777777" w:rsidR="007B4908" w:rsidRDefault="007B4908" w:rsidP="007B4908">
      <w:pPr>
        <w:rPr>
          <w:rFonts w:eastAsiaTheme="majorEastAsia" w:cstheme="majorBidi"/>
          <w:color w:val="2F5496" w:themeColor="accent1" w:themeShade="BF"/>
          <w:sz w:val="32"/>
          <w:szCs w:val="32"/>
        </w:rPr>
      </w:pPr>
    </w:p>
    <w:p w14:paraId="5D74BBE0" w14:textId="77777777" w:rsidR="007B4908" w:rsidRDefault="007B4908" w:rsidP="007B4908">
      <w:pPr>
        <w:rPr>
          <w:rFonts w:cs="Tahoma"/>
          <w:b/>
          <w:color w:val="000000" w:themeColor="text1"/>
          <w:u w:val="single"/>
        </w:rPr>
      </w:pPr>
    </w:p>
    <w:p w14:paraId="62587A0F" w14:textId="77777777" w:rsidR="007B4908" w:rsidRDefault="007B4908" w:rsidP="007B4908">
      <w:pPr>
        <w:rPr>
          <w:rFonts w:cs="Tahoma"/>
          <w:b/>
          <w:color w:val="000000" w:themeColor="text1"/>
          <w:u w:val="single"/>
        </w:rPr>
      </w:pPr>
    </w:p>
    <w:p w14:paraId="774F6AB0" w14:textId="77777777" w:rsidR="007B4908" w:rsidRDefault="007B4908" w:rsidP="007B4908">
      <w:pPr>
        <w:rPr>
          <w:rFonts w:cs="Tahoma"/>
          <w:b/>
          <w:color w:val="000000" w:themeColor="text1"/>
          <w:u w:val="single"/>
        </w:rPr>
      </w:pPr>
      <w:r>
        <w:rPr>
          <w:rFonts w:cs="Tahoma"/>
          <w:b/>
          <w:color w:val="000000" w:themeColor="text1"/>
          <w:u w:val="single"/>
        </w:rPr>
        <w:t xml:space="preserve">Tender Response </w:t>
      </w:r>
    </w:p>
    <w:p w14:paraId="15B4E6B9" w14:textId="033DB31C" w:rsidR="005A5183" w:rsidRPr="005A5183" w:rsidRDefault="007B4908" w:rsidP="007B4908">
      <w:pPr>
        <w:pStyle w:val="NormalWeb"/>
        <w:rPr>
          <w:rFonts w:cs="Arial"/>
          <w:szCs w:val="20"/>
        </w:rPr>
      </w:pPr>
      <w:r w:rsidRPr="005A5183">
        <w:rPr>
          <w:rFonts w:cs="Arial"/>
          <w:szCs w:val="20"/>
        </w:rPr>
        <w:t xml:space="preserve">Responses must be submitted </w:t>
      </w:r>
      <w:r w:rsidR="005A5183" w:rsidRPr="005A5183">
        <w:rPr>
          <w:rFonts w:cs="Arial"/>
          <w:color w:val="000000"/>
          <w:szCs w:val="20"/>
          <w:shd w:val="clear" w:color="auto" w:fill="FFFFFF"/>
        </w:rPr>
        <w:t>within the timeframe via</w:t>
      </w:r>
      <w:r w:rsidR="00AD2F70">
        <w:rPr>
          <w:rFonts w:cs="Arial"/>
          <w:color w:val="000000"/>
          <w:szCs w:val="20"/>
          <w:shd w:val="clear" w:color="auto" w:fill="FFFFFF"/>
        </w:rPr>
        <w:t xml:space="preserve"> the </w:t>
      </w:r>
      <w:r w:rsidR="005A5183" w:rsidRPr="005A5183">
        <w:rPr>
          <w:rFonts w:cs="Arial"/>
          <w:color w:val="000000"/>
          <w:szCs w:val="20"/>
          <w:shd w:val="clear" w:color="auto" w:fill="FFFFFF"/>
        </w:rPr>
        <w:t xml:space="preserve">Ariba </w:t>
      </w:r>
      <w:r w:rsidR="00AD2F70">
        <w:rPr>
          <w:rFonts w:cs="Arial"/>
          <w:color w:val="000000"/>
          <w:szCs w:val="20"/>
          <w:shd w:val="clear" w:color="auto" w:fill="FFFFFF"/>
        </w:rPr>
        <w:t xml:space="preserve">Portal </w:t>
      </w:r>
      <w:r w:rsidR="005A5183" w:rsidRPr="005A5183">
        <w:rPr>
          <w:rFonts w:cs="Arial"/>
          <w:color w:val="000000"/>
          <w:szCs w:val="20"/>
          <w:shd w:val="clear" w:color="auto" w:fill="FFFFFF"/>
        </w:rPr>
        <w:t xml:space="preserve">as a response to Section 2 - tender questions (responses should not be submitted via the </w:t>
      </w:r>
      <w:r w:rsidR="00021503">
        <w:rPr>
          <w:rFonts w:cs="Arial"/>
          <w:color w:val="000000"/>
          <w:szCs w:val="20"/>
          <w:shd w:val="clear" w:color="auto" w:fill="FFFFFF"/>
        </w:rPr>
        <w:t xml:space="preserve">Ariba </w:t>
      </w:r>
      <w:r w:rsidR="005A5183" w:rsidRPr="005A5183">
        <w:rPr>
          <w:rFonts w:cs="Arial"/>
          <w:color w:val="000000"/>
          <w:szCs w:val="20"/>
          <w:shd w:val="clear" w:color="auto" w:fill="FFFFFF"/>
        </w:rPr>
        <w:t>messaging portal)</w:t>
      </w:r>
      <w:r w:rsidRPr="005A5183">
        <w:rPr>
          <w:rFonts w:cs="Arial"/>
          <w:szCs w:val="20"/>
        </w:rPr>
        <w:t xml:space="preserve"> with all attachments saved in a zip file, if you experience any technical </w:t>
      </w:r>
      <w:proofErr w:type="gramStart"/>
      <w:r w:rsidRPr="005A5183">
        <w:rPr>
          <w:rFonts w:cs="Arial"/>
          <w:szCs w:val="20"/>
        </w:rPr>
        <w:t>difficulties</w:t>
      </w:r>
      <w:proofErr w:type="gramEnd"/>
      <w:r w:rsidRPr="005A5183">
        <w:rPr>
          <w:rFonts w:cs="Arial"/>
          <w:szCs w:val="20"/>
        </w:rPr>
        <w:t xml:space="preserve"> please contact the person names in this document.</w:t>
      </w:r>
    </w:p>
    <w:p w14:paraId="1E5F29AC" w14:textId="77777777" w:rsidR="007B4908" w:rsidRDefault="007B4908" w:rsidP="007B4908">
      <w:pPr>
        <w:pStyle w:val="NormalWeb"/>
        <w:rPr>
          <w:rFonts w:cs="Arial"/>
          <w:szCs w:val="20"/>
        </w:rPr>
      </w:pPr>
    </w:p>
    <w:p w14:paraId="43CE66FA" w14:textId="77777777" w:rsidR="007B4908" w:rsidRPr="00D60A1F" w:rsidRDefault="007B4908" w:rsidP="007B4908">
      <w:pPr>
        <w:pStyle w:val="NormalWeb"/>
        <w:rPr>
          <w:rFonts w:cs="Arial"/>
          <w:szCs w:val="20"/>
        </w:rPr>
      </w:pPr>
      <w:r w:rsidRPr="00D60A1F">
        <w:rPr>
          <w:rFonts w:cs="Arial"/>
          <w:szCs w:val="20"/>
        </w:rPr>
        <w:t>All bidders will be notified of outcome and provided feedback by the date specified on the procurement timetable.</w:t>
      </w:r>
    </w:p>
    <w:p w14:paraId="60516733" w14:textId="77777777" w:rsidR="007B4908" w:rsidRPr="00E07397" w:rsidRDefault="007B4908" w:rsidP="007B4908">
      <w:pPr>
        <w:rPr>
          <w:rFonts w:cs="Tahoma"/>
          <w:b/>
          <w:color w:val="000000" w:themeColor="text1"/>
          <w:u w:val="single"/>
        </w:rPr>
      </w:pPr>
    </w:p>
    <w:p w14:paraId="6FC5D83F" w14:textId="00FE259D" w:rsidR="009F3E53" w:rsidRDefault="009F3E53" w:rsidP="009F3E53"/>
    <w:p w14:paraId="578A20DD" w14:textId="1961EF10" w:rsidR="00BF70AC" w:rsidRDefault="000B6D2C"/>
    <w:sectPr w:rsidR="00BF70AC" w:rsidSect="009F3E53">
      <w:footerReference w:type="default" r:id="rId12"/>
      <w:headerReference w:type="first" r:id="rId13"/>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7DF6" w14:textId="77777777" w:rsidR="00267507" w:rsidRDefault="00267507" w:rsidP="009C29B1">
      <w:r>
        <w:separator/>
      </w:r>
    </w:p>
  </w:endnote>
  <w:endnote w:type="continuationSeparator" w:id="0">
    <w:p w14:paraId="356C4B05" w14:textId="77777777" w:rsidR="00267507" w:rsidRDefault="00267507"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British Council Sans">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EF80" w14:textId="77777777" w:rsidR="00267507" w:rsidRDefault="00267507" w:rsidP="009C29B1">
      <w:r>
        <w:separator/>
      </w:r>
    </w:p>
  </w:footnote>
  <w:footnote w:type="continuationSeparator" w:id="0">
    <w:p w14:paraId="098894D0" w14:textId="77777777" w:rsidR="00267507" w:rsidRDefault="00267507"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1C3"/>
    <w:multiLevelType w:val="multilevel"/>
    <w:tmpl w:val="263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11A59"/>
    <w:multiLevelType w:val="hybridMultilevel"/>
    <w:tmpl w:val="DE48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D5E00"/>
    <w:multiLevelType w:val="hybridMultilevel"/>
    <w:tmpl w:val="8A08FB7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14736DA"/>
    <w:multiLevelType w:val="hybridMultilevel"/>
    <w:tmpl w:val="E40E8F4E"/>
    <w:lvl w:ilvl="0" w:tplc="08090001">
      <w:start w:val="1"/>
      <w:numFmt w:val="bullet"/>
      <w:lvlText w:val=""/>
      <w:lvlJc w:val="left"/>
      <w:pPr>
        <w:ind w:left="8181" w:hanging="360"/>
      </w:pPr>
      <w:rPr>
        <w:rFonts w:ascii="Symbol" w:hAnsi="Symbol" w:hint="default"/>
      </w:rPr>
    </w:lvl>
    <w:lvl w:ilvl="1" w:tplc="08090003" w:tentative="1">
      <w:start w:val="1"/>
      <w:numFmt w:val="bullet"/>
      <w:pStyle w:val="AgtLevel2"/>
      <w:lvlText w:val="o"/>
      <w:lvlJc w:val="left"/>
      <w:pPr>
        <w:ind w:left="8901" w:hanging="360"/>
      </w:pPr>
      <w:rPr>
        <w:rFonts w:ascii="Courier New" w:hAnsi="Courier New" w:hint="default"/>
      </w:rPr>
    </w:lvl>
    <w:lvl w:ilvl="2" w:tplc="08090005" w:tentative="1">
      <w:start w:val="1"/>
      <w:numFmt w:val="bullet"/>
      <w:lvlText w:val=""/>
      <w:lvlJc w:val="left"/>
      <w:pPr>
        <w:ind w:left="9621" w:hanging="360"/>
      </w:pPr>
      <w:rPr>
        <w:rFonts w:ascii="Wingdings" w:hAnsi="Wingdings" w:hint="default"/>
      </w:rPr>
    </w:lvl>
    <w:lvl w:ilvl="3" w:tplc="08090001" w:tentative="1">
      <w:start w:val="1"/>
      <w:numFmt w:val="bullet"/>
      <w:lvlText w:val=""/>
      <w:lvlJc w:val="left"/>
      <w:pPr>
        <w:ind w:left="10341" w:hanging="360"/>
      </w:pPr>
      <w:rPr>
        <w:rFonts w:ascii="Symbol" w:hAnsi="Symbol" w:hint="default"/>
      </w:rPr>
    </w:lvl>
    <w:lvl w:ilvl="4" w:tplc="08090003" w:tentative="1">
      <w:start w:val="1"/>
      <w:numFmt w:val="bullet"/>
      <w:lvlText w:val="o"/>
      <w:lvlJc w:val="left"/>
      <w:pPr>
        <w:ind w:left="11061" w:hanging="360"/>
      </w:pPr>
      <w:rPr>
        <w:rFonts w:ascii="Courier New" w:hAnsi="Courier New" w:hint="default"/>
      </w:rPr>
    </w:lvl>
    <w:lvl w:ilvl="5" w:tplc="08090005" w:tentative="1">
      <w:start w:val="1"/>
      <w:numFmt w:val="bullet"/>
      <w:lvlText w:val=""/>
      <w:lvlJc w:val="left"/>
      <w:pPr>
        <w:ind w:left="11781" w:hanging="360"/>
      </w:pPr>
      <w:rPr>
        <w:rFonts w:ascii="Wingdings" w:hAnsi="Wingdings" w:hint="default"/>
      </w:rPr>
    </w:lvl>
    <w:lvl w:ilvl="6" w:tplc="08090001" w:tentative="1">
      <w:start w:val="1"/>
      <w:numFmt w:val="bullet"/>
      <w:lvlText w:val=""/>
      <w:lvlJc w:val="left"/>
      <w:pPr>
        <w:ind w:left="12501" w:hanging="360"/>
      </w:pPr>
      <w:rPr>
        <w:rFonts w:ascii="Symbol" w:hAnsi="Symbol" w:hint="default"/>
      </w:rPr>
    </w:lvl>
    <w:lvl w:ilvl="7" w:tplc="08090003" w:tentative="1">
      <w:start w:val="1"/>
      <w:numFmt w:val="bullet"/>
      <w:lvlText w:val="o"/>
      <w:lvlJc w:val="left"/>
      <w:pPr>
        <w:ind w:left="13221" w:hanging="360"/>
      </w:pPr>
      <w:rPr>
        <w:rFonts w:ascii="Courier New" w:hAnsi="Courier New" w:hint="default"/>
      </w:rPr>
    </w:lvl>
    <w:lvl w:ilvl="8" w:tplc="08090005" w:tentative="1">
      <w:start w:val="1"/>
      <w:numFmt w:val="bullet"/>
      <w:lvlText w:val=""/>
      <w:lvlJc w:val="left"/>
      <w:pPr>
        <w:ind w:left="13941" w:hanging="360"/>
      </w:pPr>
      <w:rPr>
        <w:rFonts w:ascii="Wingdings" w:hAnsi="Wingdings" w:hint="default"/>
      </w:rPr>
    </w:lvl>
  </w:abstractNum>
  <w:abstractNum w:abstractNumId="4" w15:restartNumberingAfterBreak="0">
    <w:nsid w:val="61C054B3"/>
    <w:multiLevelType w:val="hybridMultilevel"/>
    <w:tmpl w:val="5EC0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46174"/>
    <w:multiLevelType w:val="hybridMultilevel"/>
    <w:tmpl w:val="9BE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60471">
    <w:abstractNumId w:val="3"/>
  </w:num>
  <w:num w:numId="2" w16cid:durableId="1521354217">
    <w:abstractNumId w:val="5"/>
  </w:num>
  <w:num w:numId="3" w16cid:durableId="472142133">
    <w:abstractNumId w:val="0"/>
  </w:num>
  <w:num w:numId="4" w16cid:durableId="129439260">
    <w:abstractNumId w:val="2"/>
  </w:num>
  <w:num w:numId="5" w16cid:durableId="62267054">
    <w:abstractNumId w:val="1"/>
  </w:num>
  <w:num w:numId="6" w16cid:durableId="1364402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1503"/>
    <w:rsid w:val="0008748F"/>
    <w:rsid w:val="000A4E0A"/>
    <w:rsid w:val="000B6D2C"/>
    <w:rsid w:val="000E7DBA"/>
    <w:rsid w:val="000F761A"/>
    <w:rsid w:val="00104621"/>
    <w:rsid w:val="00162312"/>
    <w:rsid w:val="00187D79"/>
    <w:rsid w:val="001A4C5F"/>
    <w:rsid w:val="001D0D2E"/>
    <w:rsid w:val="00221B95"/>
    <w:rsid w:val="0023344B"/>
    <w:rsid w:val="0026690B"/>
    <w:rsid w:val="00267507"/>
    <w:rsid w:val="00316103"/>
    <w:rsid w:val="0032123F"/>
    <w:rsid w:val="003421A7"/>
    <w:rsid w:val="00374558"/>
    <w:rsid w:val="00395A71"/>
    <w:rsid w:val="003A60EE"/>
    <w:rsid w:val="003B1554"/>
    <w:rsid w:val="003B5738"/>
    <w:rsid w:val="00414D04"/>
    <w:rsid w:val="00433E18"/>
    <w:rsid w:val="00471E1E"/>
    <w:rsid w:val="00496223"/>
    <w:rsid w:val="00514FB7"/>
    <w:rsid w:val="00532EA7"/>
    <w:rsid w:val="00533C74"/>
    <w:rsid w:val="0054318E"/>
    <w:rsid w:val="00571F04"/>
    <w:rsid w:val="005A5183"/>
    <w:rsid w:val="005C0659"/>
    <w:rsid w:val="005E3A1B"/>
    <w:rsid w:val="005E584D"/>
    <w:rsid w:val="005F68DC"/>
    <w:rsid w:val="00643A71"/>
    <w:rsid w:val="006C6342"/>
    <w:rsid w:val="006D7B37"/>
    <w:rsid w:val="006F76B0"/>
    <w:rsid w:val="007037C1"/>
    <w:rsid w:val="007060AE"/>
    <w:rsid w:val="00750E12"/>
    <w:rsid w:val="007704C1"/>
    <w:rsid w:val="0077626D"/>
    <w:rsid w:val="007A4528"/>
    <w:rsid w:val="007B4908"/>
    <w:rsid w:val="007F420E"/>
    <w:rsid w:val="008605A0"/>
    <w:rsid w:val="008B23DD"/>
    <w:rsid w:val="008D5FB5"/>
    <w:rsid w:val="008F4553"/>
    <w:rsid w:val="00905ADD"/>
    <w:rsid w:val="00921937"/>
    <w:rsid w:val="0097218E"/>
    <w:rsid w:val="0099757C"/>
    <w:rsid w:val="009A6C69"/>
    <w:rsid w:val="009C29B1"/>
    <w:rsid w:val="009D0385"/>
    <w:rsid w:val="009F3E53"/>
    <w:rsid w:val="00A21978"/>
    <w:rsid w:val="00A55420"/>
    <w:rsid w:val="00A61682"/>
    <w:rsid w:val="00A64380"/>
    <w:rsid w:val="00A86628"/>
    <w:rsid w:val="00AD261C"/>
    <w:rsid w:val="00AD2F70"/>
    <w:rsid w:val="00AD5A23"/>
    <w:rsid w:val="00AE1169"/>
    <w:rsid w:val="00AF1219"/>
    <w:rsid w:val="00B8184F"/>
    <w:rsid w:val="00B92371"/>
    <w:rsid w:val="00BD0DD2"/>
    <w:rsid w:val="00BE7E5A"/>
    <w:rsid w:val="00C22B38"/>
    <w:rsid w:val="00C927C4"/>
    <w:rsid w:val="00CD61E6"/>
    <w:rsid w:val="00D00A63"/>
    <w:rsid w:val="00D26B1D"/>
    <w:rsid w:val="00DB5BEF"/>
    <w:rsid w:val="00DD51AA"/>
    <w:rsid w:val="00E45D1C"/>
    <w:rsid w:val="00E8351E"/>
    <w:rsid w:val="00EA79E6"/>
    <w:rsid w:val="00EE336C"/>
    <w:rsid w:val="00F23CBA"/>
    <w:rsid w:val="00F31FF6"/>
    <w:rsid w:val="00F52FDE"/>
    <w:rsid w:val="00FD3F8F"/>
    <w:rsid w:val="00FF014C"/>
    <w:rsid w:val="00FF3E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paragraph" w:customStyle="1" w:styleId="AgtLevel1Heading">
    <w:name w:val="Agt/Level1 Heading"/>
    <w:basedOn w:val="Normal"/>
    <w:rsid w:val="007B4908"/>
    <w:pPr>
      <w:keepNext/>
      <w:tabs>
        <w:tab w:val="num" w:pos="720"/>
      </w:tabs>
      <w:spacing w:after="240" w:line="288" w:lineRule="auto"/>
      <w:ind w:left="720" w:hanging="720"/>
      <w:jc w:val="both"/>
    </w:pPr>
    <w:rPr>
      <w:rFonts w:ascii="Arial" w:eastAsia="Times New Roman" w:hAnsi="Arial" w:cs="Times New Roman"/>
      <w:b/>
      <w:sz w:val="20"/>
      <w:szCs w:val="20"/>
      <w:lang w:eastAsia="en-US"/>
    </w:rPr>
  </w:style>
  <w:style w:type="paragraph" w:customStyle="1" w:styleId="AgtLevel2">
    <w:name w:val="Agt/Level2"/>
    <w:basedOn w:val="Normal"/>
    <w:rsid w:val="007B4908"/>
    <w:pPr>
      <w:numPr>
        <w:ilvl w:val="1"/>
        <w:numId w:val="1"/>
      </w:numPr>
      <w:tabs>
        <w:tab w:val="num" w:pos="1430"/>
      </w:tabs>
      <w:spacing w:after="240" w:line="288" w:lineRule="auto"/>
      <w:ind w:left="1430" w:hanging="720"/>
      <w:jc w:val="both"/>
    </w:pPr>
    <w:rPr>
      <w:rFonts w:ascii="Arial" w:eastAsia="Times New Roman" w:hAnsi="Arial" w:cs="Times New Roman"/>
      <w:sz w:val="20"/>
      <w:szCs w:val="20"/>
      <w:lang w:eastAsia="en-US"/>
    </w:rPr>
  </w:style>
  <w:style w:type="paragraph" w:styleId="NormalWeb">
    <w:name w:val="Normal (Web)"/>
    <w:basedOn w:val="Normal"/>
    <w:uiPriority w:val="99"/>
    <w:rsid w:val="007B4908"/>
    <w:pPr>
      <w:spacing w:line="288" w:lineRule="auto"/>
      <w:jc w:val="both"/>
    </w:pPr>
    <w:rPr>
      <w:rFonts w:ascii="Arial" w:eastAsia="Times New Roman" w:hAnsi="Arial" w:cs="Times New Roman"/>
      <w:sz w:val="20"/>
      <w:lang w:eastAsia="en-US"/>
    </w:rPr>
  </w:style>
  <w:style w:type="paragraph" w:styleId="ListParagraph">
    <w:name w:val="List Paragraph"/>
    <w:basedOn w:val="Normal"/>
    <w:uiPriority w:val="34"/>
    <w:qFormat/>
    <w:rsid w:val="007B4908"/>
    <w:pPr>
      <w:ind w:left="720"/>
      <w:contextualSpacing/>
    </w:pPr>
    <w:rPr>
      <w:rFonts w:ascii="CG Times" w:eastAsia="Times New Roman" w:hAnsi="CG Times" w:cs="Times New Roman"/>
      <w:szCs w:val="20"/>
      <w:lang w:eastAsia="en-US"/>
    </w:rPr>
  </w:style>
  <w:style w:type="table" w:styleId="TableGrid">
    <w:name w:val="Table Grid"/>
    <w:basedOn w:val="TableNormal"/>
    <w:uiPriority w:val="39"/>
    <w:rsid w:val="007B490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5A23"/>
  </w:style>
  <w:style w:type="paragraph" w:customStyle="1" w:styleId="paragraph">
    <w:name w:val="paragraph"/>
    <w:basedOn w:val="Normal"/>
    <w:rsid w:val="00AD5A2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26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1D"/>
    <w:rPr>
      <w:rFonts w:ascii="Segoe UI" w:hAnsi="Segoe UI" w:cs="Segoe UI"/>
      <w:sz w:val="18"/>
      <w:szCs w:val="18"/>
    </w:rPr>
  </w:style>
  <w:style w:type="paragraph" w:customStyle="1" w:styleId="TableNormal1">
    <w:name w:val="Table Normal1"/>
    <w:basedOn w:val="Normal"/>
    <w:rsid w:val="0026690B"/>
    <w:pPr>
      <w:spacing w:before="60" w:after="60" w:line="264" w:lineRule="auto"/>
      <w:jc w:val="both"/>
    </w:pPr>
    <w:rPr>
      <w:rFonts w:ascii="Arial" w:eastAsia="Times New Roman" w:hAnsi="Arial" w:cs="Times New Roman"/>
      <w:kern w:val="28"/>
      <w:sz w:val="21"/>
      <w:szCs w:val="20"/>
      <w:lang w:eastAsia="en-US"/>
    </w:rPr>
  </w:style>
  <w:style w:type="character" w:styleId="CommentReference">
    <w:name w:val="annotation reference"/>
    <w:basedOn w:val="DefaultParagraphFont"/>
    <w:uiPriority w:val="99"/>
    <w:semiHidden/>
    <w:unhideWhenUsed/>
    <w:rsid w:val="00F23CBA"/>
    <w:rPr>
      <w:sz w:val="16"/>
      <w:szCs w:val="16"/>
    </w:rPr>
  </w:style>
  <w:style w:type="paragraph" w:styleId="CommentText">
    <w:name w:val="annotation text"/>
    <w:basedOn w:val="Normal"/>
    <w:link w:val="CommentTextChar"/>
    <w:uiPriority w:val="99"/>
    <w:unhideWhenUsed/>
    <w:rsid w:val="00F23CBA"/>
    <w:rPr>
      <w:sz w:val="20"/>
      <w:szCs w:val="20"/>
    </w:rPr>
  </w:style>
  <w:style w:type="character" w:customStyle="1" w:styleId="CommentTextChar">
    <w:name w:val="Comment Text Char"/>
    <w:basedOn w:val="DefaultParagraphFont"/>
    <w:link w:val="CommentText"/>
    <w:uiPriority w:val="99"/>
    <w:rsid w:val="00F23CBA"/>
    <w:rPr>
      <w:sz w:val="20"/>
      <w:szCs w:val="20"/>
    </w:rPr>
  </w:style>
  <w:style w:type="paragraph" w:styleId="CommentSubject">
    <w:name w:val="annotation subject"/>
    <w:basedOn w:val="CommentText"/>
    <w:next w:val="CommentText"/>
    <w:link w:val="CommentSubjectChar"/>
    <w:uiPriority w:val="99"/>
    <w:semiHidden/>
    <w:unhideWhenUsed/>
    <w:rsid w:val="00F23CBA"/>
    <w:rPr>
      <w:b/>
      <w:bCs/>
    </w:rPr>
  </w:style>
  <w:style w:type="character" w:customStyle="1" w:styleId="CommentSubjectChar">
    <w:name w:val="Comment Subject Char"/>
    <w:basedOn w:val="CommentTextChar"/>
    <w:link w:val="CommentSubject"/>
    <w:uiPriority w:val="99"/>
    <w:semiHidden/>
    <w:rsid w:val="00F23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645EEF-4828-4D84-9082-635314C765C5}">
  <ds:schemaRefs>
    <ds:schemaRef ds:uri="http://schemas.microsoft.com/sharepoint/v3/contenttype/forms"/>
  </ds:schemaRefs>
</ds:datastoreItem>
</file>

<file path=customXml/itemProps2.xml><?xml version="1.0" encoding="utf-8"?>
<ds:datastoreItem xmlns:ds="http://schemas.openxmlformats.org/officeDocument/2006/customXml" ds:itemID="{864AE179-8F11-42EE-9524-A7145B5AC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4DF30-DD2D-40E9-B6C9-7F0EB1626163}">
  <ds:schemaRefs>
    <ds:schemaRef ds:uri="51cf8364-04e3-4479-9259-5784e40240e8"/>
    <ds:schemaRef ds:uri="http://www.w3.org/XML/1998/namespace"/>
    <ds:schemaRef ds:uri="http://schemas.microsoft.com/office/2006/documentManagement/types"/>
    <ds:schemaRef ds:uri="http://purl.org/dc/dcmitype/"/>
    <ds:schemaRef ds:uri="http://schemas.microsoft.com/office/2006/metadata/properties"/>
    <ds:schemaRef ds:uri="b514079a-91db-4d7a-ac49-273c04ba5994"/>
    <ds:schemaRef ds:uri="http://purl.org/dc/terms/"/>
    <ds:schemaRef ds:uri="http://purl.org/dc/elements/1.1/"/>
    <ds:schemaRef ds:uri="http://schemas.microsoft.com/office/infopath/2007/PartnerControls"/>
    <ds:schemaRef ds:uri="http://schemas.openxmlformats.org/package/2006/metadata/core-properties"/>
    <ds:schemaRef ds:uri="ebf50035-598f-4e4e-9fb3-1a749176f11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81</cp:revision>
  <dcterms:created xsi:type="dcterms:W3CDTF">2019-06-25T15:58:00Z</dcterms:created>
  <dcterms:modified xsi:type="dcterms:W3CDTF">2023-10-10T07:51:00Z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