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sdt>
      <w:sdtPr>
        <w:id w:val="-1674488091"/>
        <w:docPartObj>
          <w:docPartGallery w:val="Cover Pages"/>
          <w:docPartUnique/>
        </w:docPartObj>
      </w:sdtPr>
      <w:sdtEndPr/>
      <w:sdtContent>
        <w:p w:rsidR="009F3E53" w:rsidRDefault="009F3E53" w14:paraId="3D47EDCD" w14:textId="683A9CBD"/>
        <w:p w:rsidR="009F3E53" w:rsidRDefault="00BF2E97" w14:paraId="367900C5" w14:textId="1314B9C7">
          <w:r>
            <w:rPr>
              <w:noProof/>
            </w:rPr>
            <mc:AlternateContent>
              <mc:Choice Requires="wps">
                <w:drawing>
                  <wp:anchor distT="0" distB="0" distL="114300" distR="114300" simplePos="0" relativeHeight="251661312" behindDoc="0" locked="0" layoutInCell="1" allowOverlap="1" wp14:anchorId="691BAF80" wp14:editId="5917D145">
                    <wp:simplePos x="0" y="0"/>
                    <wp:positionH relativeFrom="column">
                      <wp:posOffset>95250</wp:posOffset>
                    </wp:positionH>
                    <wp:positionV relativeFrom="paragraph">
                      <wp:posOffset>3718560</wp:posOffset>
                    </wp:positionV>
                    <wp:extent cx="5600700" cy="17049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704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1745F" w:rsidR="009C29B1" w:rsidP="00E1745F" w:rsidRDefault="00C47098" w14:paraId="0D49B091" w14:textId="65A536EB">
                                <w:pPr>
                                  <w:jc w:val="center"/>
                                  <w:rPr>
                                    <w:i/>
                                    <w:iCs/>
                                    <w:color w:val="143960"/>
                                    <w:sz w:val="56"/>
                                    <w:szCs w:val="56"/>
                                  </w:rPr>
                                </w:pPr>
                                <w:r>
                                  <w:rPr>
                                    <w:iCs/>
                                    <w:color w:val="143960"/>
                                    <w:sz w:val="56"/>
                                    <w:szCs w:val="56"/>
                                  </w:rPr>
                                  <w:t xml:space="preserve">Supplier Presentation </w:t>
                                </w:r>
                                <w:r w:rsidRPr="00E1745F" w:rsidR="00E1745F">
                                  <w:rPr>
                                    <w:color w:val="143960"/>
                                    <w:sz w:val="56"/>
                                    <w:szCs w:val="56"/>
                                  </w:rPr>
                                  <w:t>f</w:t>
                                </w:r>
                                <w:r w:rsidRPr="00E1745F" w:rsidR="00BA4337">
                                  <w:rPr>
                                    <w:color w:val="143960"/>
                                    <w:sz w:val="56"/>
                                    <w:szCs w:val="56"/>
                                  </w:rPr>
                                  <w:t>or</w:t>
                                </w:r>
                                <w:r w:rsidR="00BA4337">
                                  <w:rPr>
                                    <w:color w:val="143960"/>
                                    <w:sz w:val="56"/>
                                    <w:szCs w:val="56"/>
                                  </w:rPr>
                                  <w:t xml:space="preserve"> the </w:t>
                                </w:r>
                                <w:r>
                                  <w:rPr>
                                    <w:color w:val="143960"/>
                                    <w:sz w:val="56"/>
                                    <w:szCs w:val="56"/>
                                  </w:rPr>
                                  <w:t>Provision of Backfill &amp; Reinstatement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91BAF80">
                    <v:stroke joinstyle="miter"/>
                    <v:path gradientshapeok="t" o:connecttype="rect"/>
                  </v:shapetype>
                  <v:shape id="Text Box 3" style="position:absolute;margin-left:7.5pt;margin-top:292.8pt;width:441pt;height:13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">
                    <v:textbox>
                      <w:txbxContent>
                        <w:p w:rsidRPr="00E1745F" w:rsidR="009C29B1" w:rsidP="00E1745F" w:rsidRDefault="00C47098" w14:paraId="0D49B091" w14:textId="65A536EB">
                          <w:pPr>
                            <w:jc w:val="center"/>
                            <w:rPr>
                              <w:i/>
                              <w:iCs/>
                              <w:color w:val="143960"/>
                              <w:sz w:val="56"/>
                              <w:szCs w:val="56"/>
                            </w:rPr>
                          </w:pPr>
                          <w:r>
                            <w:rPr>
                              <w:iCs/>
                              <w:color w:val="143960"/>
                              <w:sz w:val="56"/>
                              <w:szCs w:val="56"/>
                            </w:rPr>
                            <w:t xml:space="preserve">Supplier Presentation </w:t>
                          </w:r>
                          <w:r w:rsidRPr="00E1745F" w:rsidR="00E1745F">
                            <w:rPr>
                              <w:color w:val="143960"/>
                              <w:sz w:val="56"/>
                              <w:szCs w:val="56"/>
                            </w:rPr>
                            <w:t>f</w:t>
                          </w:r>
                          <w:r w:rsidRPr="00E1745F" w:rsidR="00BA4337">
                            <w:rPr>
                              <w:color w:val="143960"/>
                              <w:sz w:val="56"/>
                              <w:szCs w:val="56"/>
                            </w:rPr>
                            <w:t>or</w:t>
                          </w:r>
                          <w:r w:rsidR="00BA4337">
                            <w:rPr>
                              <w:color w:val="143960"/>
                              <w:sz w:val="56"/>
                              <w:szCs w:val="56"/>
                            </w:rPr>
                            <w:t xml:space="preserve"> the </w:t>
                          </w:r>
                          <w:r>
                            <w:rPr>
                              <w:color w:val="143960"/>
                              <w:sz w:val="56"/>
                              <w:szCs w:val="56"/>
                            </w:rPr>
                            <w:t>Provision of Backfill &amp; Reinstatement Services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17FABE3" wp14:editId="5AC14693">
                    <wp:simplePos x="0" y="0"/>
                    <wp:positionH relativeFrom="margin">
                      <wp:align>right</wp:align>
                    </wp:positionH>
                    <wp:positionV relativeFrom="paragraph">
                      <wp:posOffset>566420</wp:posOffset>
                    </wp:positionV>
                    <wp:extent cx="5600700" cy="1962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962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187D79" w:rsidR="009C29B1" w:rsidP="00BA4337" w:rsidRDefault="00BF2E97" w14:paraId="7D6AA13D" w14:textId="61CA8961">
                                <w:pPr>
                                  <w:jc w:val="center"/>
                                  <w:rPr>
                                    <w:b/>
                                    <w:bCs/>
                                    <w:color w:val="5BC4E3"/>
                                    <w:sz w:val="96"/>
                                    <w:szCs w:val="96"/>
                                  </w:rPr>
                                </w:pPr>
                                <w:r>
                                  <w:rPr>
                                    <w:b/>
                                    <w:bCs/>
                                    <w:color w:val="5BC4E3"/>
                                    <w:sz w:val="96"/>
                                    <w:szCs w:val="96"/>
                                  </w:rPr>
                                  <w:t>RFP Scoring Criteria and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389.8pt;margin-top:44.6pt;width:441pt;height:15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" w14:anchorId="417FABE3">
                    <v:textbox>
                      <w:txbxContent>
                        <w:p w:rsidRPr="00187D79" w:rsidR="009C29B1" w:rsidP="00BA4337" w:rsidRDefault="00BF2E97" w14:paraId="7D6AA13D" w14:textId="61CA8961">
                          <w:pPr>
                            <w:jc w:val="center"/>
                            <w:rPr>
                              <w:b/>
                              <w:bCs/>
                              <w:color w:val="5BC4E3"/>
                              <w:sz w:val="96"/>
                              <w:szCs w:val="96"/>
                            </w:rPr>
                          </w:pPr>
                          <w:r>
                            <w:rPr>
                              <w:b/>
                              <w:bCs/>
                              <w:color w:val="5BC4E3"/>
                              <w:sz w:val="96"/>
                              <w:szCs w:val="96"/>
                            </w:rPr>
                            <w:t>RFP Scoring Criteria and Weightings</w:t>
                          </w:r>
                        </w:p>
                      </w:txbxContent>
                    </v:textbox>
                    <w10:wrap type="square" anchorx="margin"/>
                  </v:shape>
                </w:pict>
              </mc:Fallback>
            </mc:AlternateContent>
          </w:r>
          <w:r w:rsidR="009F3E53">
            <w:br w:type="page"/>
          </w:r>
        </w:p>
      </w:sdtContent>
    </w:sdt>
    <w:tbl>
      <w:tblPr>
        <w:tblStyle w:val="TableGrid"/>
        <w:tblW w:w="10768" w:type="dxa"/>
        <w:tblInd w:w="-856" w:type="dxa"/>
        <w:tblLayout w:type="fixed"/>
        <w:tblLook w:val="04A0" w:firstRow="1" w:lastRow="0" w:firstColumn="1" w:lastColumn="0" w:noHBand="0" w:noVBand="1"/>
      </w:tblPr>
      <w:tblGrid>
        <w:gridCol w:w="3403"/>
        <w:gridCol w:w="2977"/>
        <w:gridCol w:w="2409"/>
        <w:gridCol w:w="1979"/>
      </w:tblGrid>
      <w:tr w:rsidRPr="00B21B30" w:rsidR="00BF2E97" w:rsidTr="007DB6EB" w14:paraId="277BAD93" w14:textId="77777777">
        <w:tc>
          <w:tcPr>
            <w:tcW w:w="10768" w:type="dxa"/>
            <w:gridSpan w:val="4"/>
            <w:shd w:val="clear" w:color="auto" w:fill="44546A" w:themeFill="text2"/>
            <w:tcMar/>
            <w:vAlign w:val="center"/>
          </w:tcPr>
          <w:p w:rsidRPr="00E338A9" w:rsidR="00BF2E97" w:rsidP="00DB1958" w:rsidRDefault="00C47098" w14:paraId="4A5A6BEB" w14:textId="288A0D1D">
            <w:pPr>
              <w:rPr>
                <w:rFonts w:cs="Arial" w:asciiTheme="minorHAnsi" w:hAnsiTheme="minorHAnsi"/>
                <w:b/>
                <w:snapToGrid w:val="0"/>
                <w:color w:val="FFFFFF" w:themeColor="background1"/>
                <w:sz w:val="22"/>
                <w:szCs w:val="22"/>
                <w:u w:val="single"/>
              </w:rPr>
            </w:pPr>
            <w:r w:rsidRPr="00E338A9">
              <w:rPr>
                <w:rFonts w:cs="Arial" w:asciiTheme="minorHAnsi" w:hAnsiTheme="minorHAnsi"/>
                <w:b/>
                <w:snapToGrid w:val="0"/>
                <w:color w:val="FFFFFF" w:themeColor="background1"/>
                <w:sz w:val="22"/>
                <w:szCs w:val="22"/>
                <w:u w:val="single"/>
              </w:rPr>
              <w:lastRenderedPageBreak/>
              <w:t>Supplier Presentation</w:t>
            </w:r>
          </w:p>
          <w:p w:rsidR="00BF2E97" w:rsidP="00DB1958" w:rsidRDefault="00BF2E97" w14:paraId="09EAE520" w14:textId="77777777">
            <w:pPr>
              <w:rPr>
                <w:rFonts w:asciiTheme="minorHAnsi" w:hAnsiTheme="minorHAnsi"/>
                <w:bCs/>
                <w:color w:val="FFFFFF" w:themeColor="background1"/>
                <w:sz w:val="22"/>
                <w:szCs w:val="22"/>
              </w:rPr>
            </w:pPr>
          </w:p>
          <w:p w:rsidR="00E338A9" w:rsidP="7785FA31" w:rsidRDefault="00BF2E97" w14:paraId="1864A93C" w14:textId="57D05E03">
            <w:pPr>
              <w:tabs>
                <w:tab w:val="center" w:pos="4153"/>
                <w:tab w:val="right" w:pos="8306"/>
              </w:tabs>
              <w:rPr>
                <w:rFonts w:ascii="Calibri" w:hAnsi="Calibri" w:asciiTheme="minorAscii" w:hAnsiTheme="minorAscii"/>
                <w:color w:val="FFFFFF" w:themeColor="background1"/>
                <w:sz w:val="22"/>
                <w:szCs w:val="22"/>
              </w:rPr>
            </w:pPr>
            <w:r w:rsidRPr="7785FA31" w:rsidR="00BF2E97">
              <w:rPr>
                <w:rFonts w:ascii="Calibri" w:hAnsi="Calibri" w:asciiTheme="minorAscii" w:hAnsiTheme="minorAscii"/>
                <w:color w:val="FFFFFF" w:themeColor="background1" w:themeTint="FF" w:themeShade="FF"/>
                <w:sz w:val="22"/>
                <w:szCs w:val="22"/>
              </w:rPr>
              <w:t>The top t</w:t>
            </w:r>
            <w:r w:rsidRPr="7785FA31" w:rsidR="000E6647">
              <w:rPr>
                <w:rFonts w:ascii="Calibri" w:hAnsi="Calibri" w:asciiTheme="minorAscii" w:hAnsiTheme="minorAscii"/>
                <w:color w:val="FFFFFF" w:themeColor="background1" w:themeTint="FF" w:themeShade="FF"/>
                <w:sz w:val="22"/>
                <w:szCs w:val="22"/>
              </w:rPr>
              <w:t>hree</w:t>
            </w:r>
            <w:r w:rsidRPr="7785FA31" w:rsidR="00BF2E97">
              <w:rPr>
                <w:rFonts w:ascii="Calibri" w:hAnsi="Calibri" w:asciiTheme="minorAscii" w:hAnsiTheme="minorAscii"/>
                <w:color w:val="FFFFFF" w:themeColor="background1" w:themeTint="FF" w:themeShade="FF"/>
                <w:sz w:val="22"/>
                <w:szCs w:val="22"/>
              </w:rPr>
              <w:t xml:space="preserve"> highest scoring bidders</w:t>
            </w:r>
            <w:r w:rsidRPr="7785FA31" w:rsidR="00C47098">
              <w:rPr>
                <w:rFonts w:ascii="Calibri" w:hAnsi="Calibri" w:asciiTheme="minorAscii" w:hAnsiTheme="minorAscii"/>
                <w:color w:val="FFFFFF" w:themeColor="background1" w:themeTint="FF" w:themeShade="FF"/>
                <w:sz w:val="22"/>
                <w:szCs w:val="22"/>
              </w:rPr>
              <w:t xml:space="preserve"> overall </w:t>
            </w:r>
            <w:r w:rsidRPr="7785FA31" w:rsidR="12244AA4">
              <w:rPr>
                <w:rFonts w:ascii="Calibri" w:hAnsi="Calibri" w:asciiTheme="minorAscii" w:hAnsiTheme="minorAscii"/>
                <w:color w:val="FFFFFF" w:themeColor="background1" w:themeTint="FF" w:themeShade="FF"/>
                <w:sz w:val="22"/>
                <w:szCs w:val="22"/>
              </w:rPr>
              <w:t xml:space="preserve">per </w:t>
            </w:r>
            <w:r w:rsidRPr="7785FA31" w:rsidR="2FAFC608">
              <w:rPr>
                <w:rFonts w:ascii="Calibri" w:hAnsi="Calibri" w:asciiTheme="minorAscii" w:hAnsiTheme="minorAscii"/>
                <w:color w:val="FFFFFF" w:themeColor="background1" w:themeTint="FF" w:themeShade="FF"/>
                <w:sz w:val="22"/>
                <w:szCs w:val="22"/>
              </w:rPr>
              <w:t>l</w:t>
            </w:r>
            <w:r w:rsidRPr="7785FA31" w:rsidR="12244AA4">
              <w:rPr>
                <w:rFonts w:ascii="Calibri" w:hAnsi="Calibri" w:asciiTheme="minorAscii" w:hAnsiTheme="minorAscii"/>
                <w:color w:val="FFFFFF" w:themeColor="background1" w:themeTint="FF" w:themeShade="FF"/>
                <w:sz w:val="22"/>
                <w:szCs w:val="22"/>
              </w:rPr>
              <w:t>ot</w:t>
            </w:r>
            <w:r w:rsidRPr="7785FA31" w:rsidR="00BF2E97">
              <w:rPr>
                <w:rFonts w:ascii="Calibri" w:hAnsi="Calibri" w:asciiTheme="minorAscii" w:hAnsiTheme="minorAscii"/>
                <w:color w:val="FFFFFF" w:themeColor="background1" w:themeTint="FF" w:themeShade="FF"/>
                <w:sz w:val="22"/>
                <w:szCs w:val="22"/>
              </w:rPr>
              <w:t xml:space="preserve"> </w:t>
            </w:r>
            <w:r w:rsidRPr="7785FA31" w:rsidR="00E338A9">
              <w:rPr>
                <w:rFonts w:ascii="Calibri" w:hAnsi="Calibri" w:asciiTheme="minorAscii" w:hAnsiTheme="minorAscii"/>
                <w:color w:val="FFFFFF" w:themeColor="background1" w:themeTint="FF" w:themeShade="FF"/>
                <w:sz w:val="22"/>
                <w:szCs w:val="22"/>
              </w:rPr>
              <w:t xml:space="preserve">will be shortlisted </w:t>
            </w:r>
            <w:r w:rsidRPr="7785FA31" w:rsidR="4FEC3945">
              <w:rPr>
                <w:rFonts w:ascii="Calibri" w:hAnsi="Calibri" w:asciiTheme="minorAscii" w:hAnsiTheme="minorAscii"/>
                <w:color w:val="FFFFFF" w:themeColor="background1" w:themeTint="FF" w:themeShade="FF"/>
                <w:sz w:val="22"/>
                <w:szCs w:val="22"/>
              </w:rPr>
              <w:t xml:space="preserve">and </w:t>
            </w:r>
            <w:r w:rsidRPr="7785FA31" w:rsidR="00BF2E97">
              <w:rPr>
                <w:rFonts w:ascii="Calibri" w:hAnsi="Calibri" w:asciiTheme="minorAscii" w:hAnsiTheme="minorAscii"/>
                <w:color w:val="FFFFFF" w:themeColor="background1" w:themeTint="FF" w:themeShade="FF"/>
                <w:sz w:val="22"/>
                <w:szCs w:val="22"/>
              </w:rPr>
              <w:t xml:space="preserve">required to </w:t>
            </w:r>
            <w:r w:rsidRPr="7785FA31" w:rsidR="00C47098">
              <w:rPr>
                <w:rFonts w:ascii="Calibri" w:hAnsi="Calibri" w:asciiTheme="minorAscii" w:hAnsiTheme="minorAscii"/>
                <w:color w:val="FFFFFF" w:themeColor="background1" w:themeTint="FF" w:themeShade="FF"/>
                <w:sz w:val="22"/>
                <w:szCs w:val="22"/>
              </w:rPr>
              <w:t>present to the NGN evaluation panel</w:t>
            </w:r>
            <w:r w:rsidRPr="7785FA31" w:rsidR="004A5EE8">
              <w:rPr>
                <w:rFonts w:ascii="Calibri" w:hAnsi="Calibri" w:asciiTheme="minorAscii" w:hAnsiTheme="minorAscii"/>
                <w:color w:val="FFFFFF" w:themeColor="background1" w:themeTint="FF" w:themeShade="FF"/>
                <w:sz w:val="22"/>
                <w:szCs w:val="22"/>
              </w:rPr>
              <w:t xml:space="preserve"> for each lot they have applied for</w:t>
            </w:r>
            <w:r w:rsidRPr="7785FA31" w:rsidR="00C47098">
              <w:rPr>
                <w:rFonts w:ascii="Calibri" w:hAnsi="Calibri" w:asciiTheme="minorAscii" w:hAnsiTheme="minorAscii"/>
                <w:color w:val="FFFFFF" w:themeColor="background1" w:themeTint="FF" w:themeShade="FF"/>
                <w:sz w:val="22"/>
                <w:szCs w:val="22"/>
              </w:rPr>
              <w:t>. The</w:t>
            </w:r>
            <w:r w:rsidRPr="7785FA31" w:rsidR="00BF2E97">
              <w:rPr>
                <w:rFonts w:ascii="Calibri" w:hAnsi="Calibri" w:asciiTheme="minorAscii" w:hAnsiTheme="minorAscii"/>
                <w:color w:val="FFFFFF" w:themeColor="background1" w:themeTint="FF" w:themeShade="FF"/>
                <w:sz w:val="22"/>
                <w:szCs w:val="22"/>
              </w:rPr>
              <w:t xml:space="preserve"> </w:t>
            </w:r>
            <w:r w:rsidRPr="7785FA31" w:rsidR="00C47098">
              <w:rPr>
                <w:rFonts w:ascii="Calibri" w:hAnsi="Calibri" w:asciiTheme="minorAscii" w:hAnsiTheme="minorAscii"/>
                <w:color w:val="FFFFFF" w:themeColor="background1" w:themeTint="FF" w:themeShade="FF"/>
                <w:sz w:val="22"/>
                <w:szCs w:val="22"/>
              </w:rPr>
              <w:t xml:space="preserve">presentation </w:t>
            </w:r>
            <w:r w:rsidRPr="7785FA31" w:rsidR="00B42FC1">
              <w:rPr>
                <w:rFonts w:ascii="Calibri" w:hAnsi="Calibri" w:asciiTheme="minorAscii" w:hAnsiTheme="minorAscii"/>
                <w:color w:val="FFFFFF" w:themeColor="background1" w:themeTint="FF" w:themeShade="FF"/>
                <w:sz w:val="22"/>
                <w:szCs w:val="22"/>
              </w:rPr>
              <w:t xml:space="preserve">is required to </w:t>
            </w:r>
            <w:r w:rsidRPr="7785FA31" w:rsidR="00A47F9E">
              <w:rPr>
                <w:rFonts w:ascii="Calibri" w:hAnsi="Calibri" w:asciiTheme="minorAscii" w:hAnsiTheme="minorAscii"/>
                <w:color w:val="FFFFFF" w:themeColor="background1" w:themeTint="FF" w:themeShade="FF"/>
                <w:sz w:val="22"/>
                <w:szCs w:val="22"/>
              </w:rPr>
              <w:t>enable NGN to asses</w:t>
            </w:r>
            <w:r w:rsidRPr="7785FA31" w:rsidR="007448D6">
              <w:rPr>
                <w:rFonts w:ascii="Calibri" w:hAnsi="Calibri" w:asciiTheme="minorAscii" w:hAnsiTheme="minorAscii"/>
                <w:color w:val="FFFFFF" w:themeColor="background1" w:themeTint="FF" w:themeShade="FF"/>
                <w:sz w:val="22"/>
                <w:szCs w:val="22"/>
              </w:rPr>
              <w:t>s</w:t>
            </w:r>
            <w:r w:rsidRPr="7785FA31" w:rsidR="00A47F9E">
              <w:rPr>
                <w:rFonts w:ascii="Calibri" w:hAnsi="Calibri" w:asciiTheme="minorAscii" w:hAnsiTheme="minorAscii"/>
                <w:color w:val="FFFFFF" w:themeColor="background1" w:themeTint="FF" w:themeShade="FF"/>
                <w:sz w:val="22"/>
                <w:szCs w:val="22"/>
              </w:rPr>
              <w:t xml:space="preserve"> </w:t>
            </w:r>
            <w:r w:rsidRPr="7785FA31" w:rsidR="00BF2E97">
              <w:rPr>
                <w:rFonts w:ascii="Calibri" w:hAnsi="Calibri" w:asciiTheme="minorAscii" w:hAnsiTheme="minorAscii"/>
                <w:color w:val="FFFFFF" w:themeColor="background1" w:themeTint="FF" w:themeShade="FF"/>
                <w:sz w:val="22"/>
                <w:szCs w:val="22"/>
              </w:rPr>
              <w:t xml:space="preserve">the proposed </w:t>
            </w:r>
            <w:r w:rsidRPr="7785FA31" w:rsidR="00B42FC1">
              <w:rPr>
                <w:rFonts w:ascii="Calibri" w:hAnsi="Calibri" w:asciiTheme="minorAscii" w:hAnsiTheme="minorAscii"/>
                <w:color w:val="FFFFFF" w:themeColor="background1" w:themeTint="FF" w:themeShade="FF"/>
                <w:sz w:val="22"/>
                <w:szCs w:val="22"/>
              </w:rPr>
              <w:t>contractor(s)</w:t>
            </w:r>
            <w:r w:rsidRPr="7785FA31" w:rsidR="00BF2E97">
              <w:rPr>
                <w:rFonts w:ascii="Calibri" w:hAnsi="Calibri" w:asciiTheme="minorAscii" w:hAnsiTheme="minorAscii"/>
                <w:color w:val="FFFFFF" w:themeColor="background1" w:themeTint="FF" w:themeShade="FF"/>
                <w:sz w:val="22"/>
                <w:szCs w:val="22"/>
              </w:rPr>
              <w:t xml:space="preserve"> </w:t>
            </w:r>
            <w:r w:rsidRPr="7785FA31" w:rsidR="007448D6">
              <w:rPr>
                <w:rFonts w:ascii="Calibri" w:hAnsi="Calibri" w:asciiTheme="minorAscii" w:hAnsiTheme="minorAscii"/>
                <w:color w:val="FFFFFF" w:themeColor="background1" w:themeTint="FF" w:themeShade="FF"/>
                <w:sz w:val="22"/>
                <w:szCs w:val="22"/>
              </w:rPr>
              <w:t>ability to</w:t>
            </w:r>
            <w:r w:rsidRPr="7785FA31" w:rsidR="009B56CF">
              <w:rPr>
                <w:rFonts w:ascii="Calibri" w:hAnsi="Calibri" w:asciiTheme="minorAscii" w:hAnsiTheme="minorAscii"/>
                <w:color w:val="FFFFFF" w:themeColor="background1" w:themeTint="FF" w:themeShade="FF"/>
                <w:sz w:val="22"/>
                <w:szCs w:val="22"/>
              </w:rPr>
              <w:t xml:space="preserve"> deliver the services with </w:t>
            </w:r>
            <w:r w:rsidRPr="7785FA31" w:rsidR="009B56CF">
              <w:rPr>
                <w:rFonts w:ascii="Calibri" w:hAnsi="Calibri" w:asciiTheme="minorAscii" w:hAnsiTheme="minorAscii"/>
                <w:color w:val="FFFFFF" w:themeColor="background1" w:themeTint="FF" w:themeShade="FF"/>
                <w:sz w:val="22"/>
                <w:szCs w:val="22"/>
              </w:rPr>
              <w:t>particular reference</w:t>
            </w:r>
            <w:r w:rsidRPr="7785FA31" w:rsidR="009B56CF">
              <w:rPr>
                <w:rFonts w:ascii="Calibri" w:hAnsi="Calibri" w:asciiTheme="minorAscii" w:hAnsiTheme="minorAscii"/>
                <w:color w:val="FFFFFF" w:themeColor="background1" w:themeTint="FF" w:themeShade="FF"/>
                <w:sz w:val="22"/>
                <w:szCs w:val="22"/>
              </w:rPr>
              <w:t xml:space="preserve"> to the following: -</w:t>
            </w:r>
            <w:r w:rsidRPr="7785FA31" w:rsidR="007448D6">
              <w:rPr>
                <w:rFonts w:ascii="Calibri" w:hAnsi="Calibri" w:asciiTheme="minorAscii" w:hAnsiTheme="minorAscii"/>
                <w:color w:val="FFFFFF" w:themeColor="background1" w:themeTint="FF" w:themeShade="FF"/>
                <w:sz w:val="22"/>
                <w:szCs w:val="22"/>
              </w:rPr>
              <w:t xml:space="preserve"> </w:t>
            </w:r>
          </w:p>
          <w:p w:rsidR="009F1B93" w:rsidP="00DB1958" w:rsidRDefault="009F1B93" w14:paraId="59158681" w14:textId="29D5E240">
            <w:pPr>
              <w:tabs>
                <w:tab w:val="center" w:pos="4153"/>
                <w:tab w:val="right" w:pos="8306"/>
              </w:tabs>
              <w:rPr>
                <w:rFonts w:asciiTheme="minorHAnsi" w:hAnsiTheme="minorHAnsi"/>
                <w:bCs/>
                <w:color w:val="FFFFFF" w:themeColor="background1"/>
                <w:sz w:val="22"/>
                <w:szCs w:val="22"/>
              </w:rPr>
            </w:pPr>
          </w:p>
          <w:p w:rsidRPr="00B807D8" w:rsidR="009F1B93" w:rsidP="009F1B93" w:rsidRDefault="009F1B93" w14:paraId="0D556D7F" w14:textId="17EE6B95">
            <w:pPr>
              <w:pStyle w:val="ListParagraph"/>
              <w:numPr>
                <w:ilvl w:val="0"/>
                <w:numId w:val="6"/>
              </w:numPr>
              <w:tabs>
                <w:tab w:val="center" w:pos="4153"/>
                <w:tab w:val="right" w:pos="8306"/>
              </w:tabs>
              <w:rPr>
                <w:rFonts w:eastAsia="Times New Roman" w:asciiTheme="minorHAnsi" w:hAnsiTheme="minorHAnsi"/>
                <w:bCs/>
                <w:color w:val="FFFFFF" w:themeColor="background1"/>
                <w:lang w:eastAsia="en-GB"/>
              </w:rPr>
            </w:pPr>
            <w:r w:rsidRPr="00B807D8">
              <w:rPr>
                <w:rFonts w:eastAsia="Times New Roman" w:asciiTheme="minorHAnsi" w:hAnsiTheme="minorHAnsi"/>
                <w:bCs/>
                <w:color w:val="FFFFFF" w:themeColor="background1"/>
                <w:lang w:eastAsia="en-GB"/>
              </w:rPr>
              <w:t>Mobilisation Plan</w:t>
            </w:r>
          </w:p>
          <w:p w:rsidRPr="0078563F" w:rsidR="00E338A9" w:rsidP="7785FA31" w:rsidRDefault="00F67F50" w14:paraId="38C19077" w14:textId="106AD925">
            <w:pPr>
              <w:pStyle w:val="ListParagraph"/>
              <w:numPr>
                <w:ilvl w:val="0"/>
                <w:numId w:val="6"/>
              </w:numPr>
              <w:tabs>
                <w:tab w:val="center" w:pos="4153"/>
                <w:tab w:val="right" w:pos="8306"/>
              </w:tabs>
              <w:rPr>
                <w:rFonts w:ascii="Calibri" w:hAnsi="Calibri" w:eastAsia="Times New Roman" w:asciiTheme="minorAscii" w:hAnsiTheme="minorAscii"/>
                <w:color w:val="FFFFFF" w:themeColor="background1"/>
                <w:lang w:eastAsia="en-GB"/>
              </w:rPr>
            </w:pPr>
            <w:r w:rsidRPr="7785FA31" w:rsidR="00F67F50">
              <w:rPr>
                <w:rFonts w:ascii="Calibri" w:hAnsi="Calibri" w:eastAsia="Times New Roman" w:asciiTheme="minorAscii" w:hAnsiTheme="minorAscii"/>
                <w:color w:val="FFFFFF" w:themeColor="background1" w:themeTint="FF" w:themeShade="FF"/>
                <w:lang w:eastAsia="en-GB"/>
              </w:rPr>
              <w:t>Contract</w:t>
            </w:r>
            <w:r w:rsidRPr="7785FA31" w:rsidR="00B807D8">
              <w:rPr>
                <w:rFonts w:ascii="Calibri" w:hAnsi="Calibri" w:eastAsia="Times New Roman" w:asciiTheme="minorAscii" w:hAnsiTheme="minorAscii"/>
                <w:color w:val="FFFFFF" w:themeColor="background1" w:themeTint="FF" w:themeShade="FF"/>
                <w:lang w:eastAsia="en-GB"/>
              </w:rPr>
              <w:t xml:space="preserve"> </w:t>
            </w:r>
            <w:r w:rsidRPr="7785FA31" w:rsidR="4584CFA9">
              <w:rPr>
                <w:rFonts w:ascii="Calibri" w:hAnsi="Calibri" w:eastAsia="Times New Roman" w:asciiTheme="minorAscii" w:hAnsiTheme="minorAscii"/>
                <w:color w:val="FFFFFF" w:themeColor="background1" w:themeTint="FF" w:themeShade="FF"/>
                <w:lang w:eastAsia="en-GB"/>
              </w:rPr>
              <w:t>Fulfilment</w:t>
            </w:r>
          </w:p>
          <w:p w:rsidR="7785FA31" w:rsidP="7785FA31" w:rsidRDefault="7785FA31" w14:paraId="4C945BF5" w14:textId="3565191A">
            <w:pPr>
              <w:pStyle w:val="Normal"/>
              <w:ind w:left="360"/>
              <w:rPr>
                <w:rFonts w:ascii="Calibri" w:hAnsi="Calibri" w:eastAsia="Times New Roman" w:asciiTheme="minorAscii" w:hAnsiTheme="minorAscii"/>
                <w:color w:val="FFFFFF" w:themeColor="background1" w:themeTint="FF" w:themeShade="FF"/>
                <w:lang w:eastAsia="en-GB"/>
              </w:rPr>
            </w:pPr>
          </w:p>
          <w:p w:rsidR="00BF2E97" w:rsidP="00DB1958" w:rsidRDefault="00BF2E97" w14:paraId="1364AC6F" w14:textId="7C8E5E37">
            <w:pPr>
              <w:tabs>
                <w:tab w:val="center" w:pos="4153"/>
                <w:tab w:val="right" w:pos="8306"/>
              </w:tabs>
              <w:rPr>
                <w:rFonts w:asciiTheme="minorHAnsi" w:hAnsiTheme="minorHAnsi"/>
                <w:bCs/>
                <w:color w:val="FFFFFF" w:themeColor="background1"/>
                <w:sz w:val="22"/>
                <w:szCs w:val="22"/>
              </w:rPr>
            </w:pPr>
            <w:r>
              <w:rPr>
                <w:rFonts w:asciiTheme="minorHAnsi" w:hAnsiTheme="minorHAnsi"/>
                <w:bCs/>
                <w:color w:val="FFFFFF" w:themeColor="background1"/>
                <w:sz w:val="22"/>
                <w:szCs w:val="22"/>
              </w:rPr>
              <w:t xml:space="preserve">The </w:t>
            </w:r>
            <w:r w:rsidR="00E338A9">
              <w:rPr>
                <w:rFonts w:asciiTheme="minorHAnsi" w:hAnsiTheme="minorHAnsi"/>
                <w:bCs/>
                <w:color w:val="FFFFFF" w:themeColor="background1"/>
                <w:sz w:val="22"/>
                <w:szCs w:val="22"/>
              </w:rPr>
              <w:t xml:space="preserve">supplier presentation </w:t>
            </w:r>
            <w:r>
              <w:rPr>
                <w:rFonts w:asciiTheme="minorHAnsi" w:hAnsiTheme="minorHAnsi"/>
                <w:bCs/>
                <w:color w:val="FFFFFF" w:themeColor="background1"/>
                <w:sz w:val="22"/>
                <w:szCs w:val="22"/>
              </w:rPr>
              <w:t xml:space="preserve">will be scored against the weighting and criteria below using the scoring methodology on page 3 </w:t>
            </w:r>
          </w:p>
          <w:p w:rsidR="004A5EE8" w:rsidP="00DB1958" w:rsidRDefault="004A5EE8" w14:paraId="7CC14D7A" w14:textId="1EC637EF">
            <w:pPr>
              <w:tabs>
                <w:tab w:val="center" w:pos="4153"/>
                <w:tab w:val="right" w:pos="8306"/>
              </w:tabs>
              <w:rPr>
                <w:rFonts w:asciiTheme="minorHAnsi" w:hAnsiTheme="minorHAnsi"/>
                <w:bCs/>
                <w:color w:val="FFFFFF" w:themeColor="background1"/>
                <w:sz w:val="22"/>
                <w:szCs w:val="22"/>
              </w:rPr>
            </w:pPr>
          </w:p>
          <w:p w:rsidR="004A5EE8" w:rsidP="00DB1958" w:rsidRDefault="004A5EE8" w14:paraId="355C93FB" w14:textId="75D514AB">
            <w:pPr>
              <w:tabs>
                <w:tab w:val="center" w:pos="4153"/>
                <w:tab w:val="right" w:pos="8306"/>
              </w:tabs>
              <w:rPr>
                <w:rFonts w:asciiTheme="minorHAnsi" w:hAnsiTheme="minorHAnsi"/>
                <w:bCs/>
                <w:color w:val="FFFFFF" w:themeColor="background1"/>
                <w:sz w:val="22"/>
                <w:szCs w:val="22"/>
              </w:rPr>
            </w:pPr>
            <w:r>
              <w:rPr>
                <w:rFonts w:asciiTheme="minorHAnsi" w:hAnsiTheme="minorHAnsi"/>
                <w:bCs/>
                <w:color w:val="FFFFFF" w:themeColor="background1"/>
                <w:sz w:val="22"/>
                <w:szCs w:val="22"/>
              </w:rPr>
              <w:t>The following NGN evaluation panel will be present in the room</w:t>
            </w:r>
          </w:p>
          <w:p w:rsidR="004A5EE8" w:rsidP="00DB1958" w:rsidRDefault="004A5EE8" w14:paraId="0A86DC29" w14:textId="72B8CF75">
            <w:pPr>
              <w:tabs>
                <w:tab w:val="center" w:pos="4153"/>
                <w:tab w:val="right" w:pos="8306"/>
              </w:tabs>
              <w:rPr>
                <w:rFonts w:asciiTheme="minorHAnsi" w:hAnsiTheme="minorHAnsi"/>
                <w:bCs/>
                <w:color w:val="FFFFFF" w:themeColor="background1"/>
                <w:sz w:val="22"/>
                <w:szCs w:val="22"/>
              </w:rPr>
            </w:pPr>
          </w:p>
          <w:tbl>
            <w:tblPr>
              <w:tblW w:w="10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3569"/>
              <w:gridCol w:w="6756"/>
            </w:tblGrid>
            <w:tr w:rsidRPr="00D70A17" w:rsidR="00D70A17" w:rsidTr="00B05B0A" w14:paraId="76DE6646" w14:textId="77777777">
              <w:trPr>
                <w:trHeight w:val="248"/>
              </w:trPr>
              <w:tc>
                <w:tcPr>
                  <w:tcW w:w="3569" w:type="dxa"/>
                  <w:shd w:val="clear" w:color="auto" w:fill="FFFFFF" w:themeFill="background1"/>
                  <w:hideMark/>
                </w:tcPr>
                <w:p w:rsidRPr="00D70A17" w:rsidR="00D70A17" w:rsidP="00B05B0A" w:rsidRDefault="00762FD8" w14:paraId="1441AF4B" w14:textId="6CEFFE19">
                  <w:pPr>
                    <w:jc w:val="center"/>
                    <w:textAlignment w:val="baseline"/>
                    <w:rPr>
                      <w:rFonts w:ascii="Segoe UI" w:hAnsi="Segoe UI" w:eastAsia="Times New Roman" w:cs="Segoe UI"/>
                      <w:b/>
                      <w:sz w:val="18"/>
                      <w:szCs w:val="18"/>
                      <w:lang w:eastAsia="en-GB"/>
                    </w:rPr>
                  </w:pPr>
                  <w:r w:rsidRPr="00762FD8">
                    <w:rPr>
                      <w:rFonts w:ascii="Arial" w:hAnsi="Arial" w:eastAsia="Times New Roman" w:cs="Arial"/>
                      <w:b/>
                      <w:sz w:val="20"/>
                      <w:szCs w:val="20"/>
                      <w:lang w:eastAsia="en-GB"/>
                    </w:rPr>
                    <w:t>Name</w:t>
                  </w:r>
                </w:p>
              </w:tc>
              <w:tc>
                <w:tcPr>
                  <w:tcW w:w="6756" w:type="dxa"/>
                  <w:shd w:val="clear" w:color="auto" w:fill="FFFFFF" w:themeFill="background1"/>
                  <w:hideMark/>
                </w:tcPr>
                <w:p w:rsidRPr="00D70A17" w:rsidR="00D70A17" w:rsidP="00B05B0A" w:rsidRDefault="00762FD8" w14:paraId="36EE812D" w14:textId="09AECAAB">
                  <w:pPr>
                    <w:jc w:val="center"/>
                    <w:textAlignment w:val="baseline"/>
                    <w:rPr>
                      <w:rFonts w:ascii="Segoe UI" w:hAnsi="Segoe UI" w:eastAsia="Times New Roman" w:cs="Segoe UI"/>
                      <w:b/>
                      <w:sz w:val="18"/>
                      <w:szCs w:val="18"/>
                      <w:lang w:eastAsia="en-GB"/>
                    </w:rPr>
                  </w:pPr>
                  <w:r w:rsidRPr="00762FD8">
                    <w:rPr>
                      <w:rFonts w:ascii="Arial" w:hAnsi="Arial" w:eastAsia="Times New Roman" w:cs="Arial"/>
                      <w:b/>
                      <w:sz w:val="20"/>
                      <w:szCs w:val="20"/>
                      <w:lang w:eastAsia="en-GB"/>
                    </w:rPr>
                    <w:t>Department</w:t>
                  </w:r>
                </w:p>
              </w:tc>
            </w:tr>
            <w:tr w:rsidRPr="00D70A17" w:rsidR="00D70A17" w:rsidTr="00B05B0A" w14:paraId="3A538D0F" w14:textId="77777777">
              <w:trPr>
                <w:trHeight w:val="248"/>
              </w:trPr>
              <w:tc>
                <w:tcPr>
                  <w:tcW w:w="3569" w:type="dxa"/>
                  <w:shd w:val="clear" w:color="auto" w:fill="FFFFFF" w:themeFill="background1"/>
                  <w:hideMark/>
                </w:tcPr>
                <w:p w:rsidRPr="00D70A17" w:rsidR="00D70A17" w:rsidP="00B05B0A" w:rsidRDefault="00D70A17" w14:paraId="4D067DD8" w14:textId="33892B71">
                  <w:pPr>
                    <w:jc w:val="center"/>
                    <w:textAlignment w:val="baseline"/>
                    <w:rPr>
                      <w:rFonts w:ascii="Segoe UI" w:hAnsi="Segoe UI" w:eastAsia="Times New Roman" w:cs="Segoe UI"/>
                      <w:sz w:val="18"/>
                      <w:szCs w:val="18"/>
                      <w:lang w:eastAsia="en-GB"/>
                    </w:rPr>
                  </w:pPr>
                  <w:r w:rsidRPr="00D70A17">
                    <w:rPr>
                      <w:rFonts w:ascii="Arial" w:hAnsi="Arial" w:eastAsia="Times New Roman" w:cs="Arial"/>
                      <w:sz w:val="20"/>
                      <w:szCs w:val="20"/>
                      <w:lang w:eastAsia="en-GB"/>
                    </w:rPr>
                    <w:t>Ashley Haddock</w:t>
                  </w:r>
                </w:p>
              </w:tc>
              <w:tc>
                <w:tcPr>
                  <w:tcW w:w="6756" w:type="dxa"/>
                  <w:shd w:val="clear" w:color="auto" w:fill="FFFFFF" w:themeFill="background1"/>
                  <w:hideMark/>
                </w:tcPr>
                <w:p w:rsidRPr="00D70A17" w:rsidR="00D70A17" w:rsidP="00B05B0A" w:rsidRDefault="00D70A17" w14:paraId="0D16AF66" w14:textId="30544B32">
                  <w:pPr>
                    <w:jc w:val="center"/>
                    <w:textAlignment w:val="baseline"/>
                    <w:rPr>
                      <w:rFonts w:ascii="Segoe UI" w:hAnsi="Segoe UI" w:eastAsia="Times New Roman" w:cs="Segoe UI"/>
                      <w:sz w:val="18"/>
                      <w:szCs w:val="18"/>
                      <w:lang w:eastAsia="en-GB"/>
                    </w:rPr>
                  </w:pPr>
                  <w:r w:rsidRPr="00D70A17">
                    <w:rPr>
                      <w:rFonts w:ascii="Arial" w:hAnsi="Arial" w:eastAsia="Times New Roman" w:cs="Arial"/>
                      <w:sz w:val="20"/>
                      <w:szCs w:val="20"/>
                      <w:lang w:eastAsia="en-GB"/>
                    </w:rPr>
                    <w:t>Procurement Manager</w:t>
                  </w:r>
                </w:p>
              </w:tc>
            </w:tr>
            <w:tr w:rsidRPr="00D70A17" w:rsidR="00D70A17" w:rsidTr="00B05B0A" w14:paraId="0232F292" w14:textId="77777777">
              <w:trPr>
                <w:trHeight w:val="248"/>
              </w:trPr>
              <w:tc>
                <w:tcPr>
                  <w:tcW w:w="3569" w:type="dxa"/>
                  <w:shd w:val="clear" w:color="auto" w:fill="FFFFFF" w:themeFill="background1"/>
                  <w:hideMark/>
                </w:tcPr>
                <w:p w:rsidRPr="00D70A17" w:rsidR="00D70A17" w:rsidP="00B05B0A" w:rsidRDefault="00D70A17" w14:paraId="32574A59" w14:textId="2CD57909">
                  <w:pPr>
                    <w:jc w:val="center"/>
                    <w:textAlignment w:val="baseline"/>
                    <w:rPr>
                      <w:rFonts w:ascii="Segoe UI" w:hAnsi="Segoe UI" w:eastAsia="Times New Roman" w:cs="Segoe UI"/>
                      <w:sz w:val="18"/>
                      <w:szCs w:val="18"/>
                      <w:lang w:eastAsia="en-GB"/>
                    </w:rPr>
                  </w:pPr>
                  <w:r w:rsidRPr="00D70A17">
                    <w:rPr>
                      <w:rFonts w:ascii="Arial" w:hAnsi="Arial" w:eastAsia="Times New Roman" w:cs="Arial"/>
                      <w:sz w:val="20"/>
                      <w:szCs w:val="20"/>
                      <w:lang w:eastAsia="en-GB"/>
                    </w:rPr>
                    <w:t>Warren Iveson</w:t>
                  </w:r>
                </w:p>
              </w:tc>
              <w:tc>
                <w:tcPr>
                  <w:tcW w:w="6756" w:type="dxa"/>
                  <w:shd w:val="clear" w:color="auto" w:fill="FFFFFF" w:themeFill="background1"/>
                  <w:hideMark/>
                </w:tcPr>
                <w:p w:rsidRPr="00D70A17" w:rsidR="00D70A17" w:rsidP="00B05B0A" w:rsidRDefault="00D70A17" w14:paraId="59CC0043" w14:textId="149106C5">
                  <w:pPr>
                    <w:jc w:val="center"/>
                    <w:textAlignment w:val="baseline"/>
                    <w:rPr>
                      <w:rFonts w:ascii="Segoe UI" w:hAnsi="Segoe UI" w:eastAsia="Times New Roman" w:cs="Segoe UI"/>
                      <w:sz w:val="18"/>
                      <w:szCs w:val="18"/>
                      <w:lang w:eastAsia="en-GB"/>
                    </w:rPr>
                  </w:pPr>
                  <w:proofErr w:type="spellStart"/>
                  <w:r w:rsidRPr="00D70A17">
                    <w:rPr>
                      <w:rFonts w:ascii="Arial" w:hAnsi="Arial" w:eastAsia="Times New Roman" w:cs="Arial"/>
                      <w:sz w:val="20"/>
                      <w:szCs w:val="20"/>
                      <w:lang w:eastAsia="en-GB"/>
                    </w:rPr>
                    <w:t>Totex</w:t>
                  </w:r>
                  <w:proofErr w:type="spellEnd"/>
                  <w:r w:rsidRPr="00D70A17">
                    <w:rPr>
                      <w:rFonts w:ascii="Arial" w:hAnsi="Arial" w:eastAsia="Times New Roman" w:cs="Arial"/>
                      <w:sz w:val="20"/>
                      <w:szCs w:val="20"/>
                      <w:lang w:eastAsia="en-GB"/>
                    </w:rPr>
                    <w:t> Business Performance &amp; Assurance Manager</w:t>
                  </w:r>
                </w:p>
              </w:tc>
            </w:tr>
            <w:tr w:rsidRPr="00D70A17" w:rsidR="00D70A17" w:rsidTr="00B05B0A" w14:paraId="22716689" w14:textId="77777777">
              <w:trPr>
                <w:trHeight w:val="262"/>
              </w:trPr>
              <w:tc>
                <w:tcPr>
                  <w:tcW w:w="3569" w:type="dxa"/>
                  <w:shd w:val="clear" w:color="auto" w:fill="FFFFFF" w:themeFill="background1"/>
                  <w:hideMark/>
                </w:tcPr>
                <w:p w:rsidRPr="00D70A17" w:rsidR="00D70A17" w:rsidP="00B05B0A" w:rsidRDefault="00D70A17" w14:paraId="4E831979" w14:textId="1ABD6565">
                  <w:pPr>
                    <w:jc w:val="center"/>
                    <w:textAlignment w:val="baseline"/>
                    <w:rPr>
                      <w:rFonts w:ascii="Segoe UI" w:hAnsi="Segoe UI" w:eastAsia="Times New Roman" w:cs="Segoe UI"/>
                      <w:sz w:val="18"/>
                      <w:szCs w:val="18"/>
                      <w:lang w:eastAsia="en-GB"/>
                    </w:rPr>
                  </w:pPr>
                  <w:r w:rsidRPr="00D70A17">
                    <w:rPr>
                      <w:rFonts w:ascii="Arial" w:hAnsi="Arial" w:eastAsia="Times New Roman" w:cs="Arial"/>
                      <w:sz w:val="20"/>
                      <w:szCs w:val="20"/>
                      <w:lang w:eastAsia="en-GB"/>
                    </w:rPr>
                    <w:t>Jeffrey Oliver</w:t>
                  </w:r>
                </w:p>
              </w:tc>
              <w:tc>
                <w:tcPr>
                  <w:tcW w:w="6756" w:type="dxa"/>
                  <w:shd w:val="clear" w:color="auto" w:fill="FFFFFF" w:themeFill="background1"/>
                  <w:hideMark/>
                </w:tcPr>
                <w:p w:rsidRPr="00D70A17" w:rsidR="00D70A17" w:rsidP="00B05B0A" w:rsidRDefault="00D70A17" w14:paraId="167505EF" w14:textId="6EE7A583">
                  <w:pPr>
                    <w:jc w:val="center"/>
                    <w:textAlignment w:val="baseline"/>
                    <w:rPr>
                      <w:rFonts w:ascii="Segoe UI" w:hAnsi="Segoe UI" w:eastAsia="Times New Roman" w:cs="Segoe UI"/>
                      <w:sz w:val="18"/>
                      <w:szCs w:val="18"/>
                      <w:lang w:eastAsia="en-GB"/>
                    </w:rPr>
                  </w:pPr>
                  <w:r w:rsidRPr="00D70A17">
                    <w:rPr>
                      <w:rFonts w:ascii="Arial" w:hAnsi="Arial" w:eastAsia="Times New Roman" w:cs="Arial"/>
                      <w:sz w:val="20"/>
                      <w:szCs w:val="20"/>
                      <w:lang w:eastAsia="en-GB"/>
                    </w:rPr>
                    <w:t>Regional Reinstatement Manager</w:t>
                  </w:r>
                </w:p>
              </w:tc>
            </w:tr>
            <w:tr w:rsidRPr="00D70A17" w:rsidR="00762FD8" w:rsidTr="00B05B0A" w14:paraId="4710059A" w14:textId="77777777">
              <w:trPr>
                <w:trHeight w:val="248"/>
              </w:trPr>
              <w:tc>
                <w:tcPr>
                  <w:tcW w:w="3569" w:type="dxa"/>
                  <w:shd w:val="clear" w:color="auto" w:fill="FFFFFF" w:themeFill="background1"/>
                </w:tcPr>
                <w:p w:rsidRPr="00D70A17" w:rsidR="00762FD8" w:rsidP="00B05B0A" w:rsidRDefault="00762FD8" w14:paraId="6B4CDB71" w14:textId="4898EE06">
                  <w:pPr>
                    <w:jc w:val="center"/>
                    <w:textAlignment w:val="baseline"/>
                    <w:rPr>
                      <w:rFonts w:ascii="Arial" w:hAnsi="Arial" w:eastAsia="Times New Roman" w:cs="Arial"/>
                      <w:sz w:val="20"/>
                      <w:szCs w:val="20"/>
                      <w:lang w:eastAsia="en-GB"/>
                    </w:rPr>
                  </w:pPr>
                  <w:r>
                    <w:rPr>
                      <w:rFonts w:ascii="Arial" w:hAnsi="Arial" w:eastAsia="Times New Roman" w:cs="Arial"/>
                      <w:sz w:val="20"/>
                      <w:szCs w:val="20"/>
                      <w:lang w:eastAsia="en-GB"/>
                    </w:rPr>
                    <w:t>Jennie Dodds</w:t>
                  </w:r>
                </w:p>
              </w:tc>
              <w:tc>
                <w:tcPr>
                  <w:tcW w:w="6756" w:type="dxa"/>
                  <w:shd w:val="clear" w:color="auto" w:fill="FFFFFF" w:themeFill="background1"/>
                </w:tcPr>
                <w:p w:rsidRPr="00D70A17" w:rsidR="00762FD8" w:rsidP="00B05B0A" w:rsidRDefault="00B05B0A" w14:paraId="7E8B74E2" w14:textId="4996BF1D">
                  <w:pPr>
                    <w:jc w:val="center"/>
                    <w:textAlignment w:val="baseline"/>
                    <w:rPr>
                      <w:rFonts w:ascii="Arial" w:hAnsi="Arial" w:eastAsia="Times New Roman" w:cs="Arial"/>
                      <w:sz w:val="20"/>
                      <w:szCs w:val="20"/>
                      <w:lang w:eastAsia="en-GB"/>
                    </w:rPr>
                  </w:pPr>
                  <w:r>
                    <w:rPr>
                      <w:rFonts w:ascii="Arial" w:hAnsi="Arial" w:eastAsia="Times New Roman" w:cs="Arial"/>
                      <w:sz w:val="20"/>
                      <w:szCs w:val="20"/>
                      <w:lang w:eastAsia="en-GB"/>
                    </w:rPr>
                    <w:t>Quantity Surveyor</w:t>
                  </w:r>
                </w:p>
              </w:tc>
            </w:tr>
            <w:tr w:rsidRPr="00D70A17" w:rsidR="00D70A17" w:rsidTr="00B05B0A" w14:paraId="6E0F1CD0" w14:textId="77777777">
              <w:trPr>
                <w:trHeight w:val="248"/>
              </w:trPr>
              <w:tc>
                <w:tcPr>
                  <w:tcW w:w="3569" w:type="dxa"/>
                  <w:shd w:val="clear" w:color="auto" w:fill="FFFFFF" w:themeFill="background1"/>
                  <w:hideMark/>
                </w:tcPr>
                <w:p w:rsidRPr="00D70A17" w:rsidR="00D70A17" w:rsidP="00B05B0A" w:rsidRDefault="00D70A17" w14:paraId="73775EE6" w14:textId="47C579EA">
                  <w:pPr>
                    <w:jc w:val="center"/>
                    <w:textAlignment w:val="baseline"/>
                    <w:rPr>
                      <w:rFonts w:ascii="Segoe UI" w:hAnsi="Segoe UI" w:eastAsia="Times New Roman" w:cs="Segoe UI"/>
                      <w:sz w:val="18"/>
                      <w:szCs w:val="18"/>
                      <w:lang w:eastAsia="en-GB"/>
                    </w:rPr>
                  </w:pPr>
                  <w:r w:rsidRPr="00D70A17">
                    <w:rPr>
                      <w:rFonts w:ascii="Arial" w:hAnsi="Arial" w:eastAsia="Times New Roman" w:cs="Arial"/>
                      <w:sz w:val="20"/>
                      <w:szCs w:val="20"/>
                      <w:lang w:eastAsia="en-GB"/>
                    </w:rPr>
                    <w:t>Rachael Dodds</w:t>
                  </w:r>
                </w:p>
              </w:tc>
              <w:tc>
                <w:tcPr>
                  <w:tcW w:w="6756" w:type="dxa"/>
                  <w:shd w:val="clear" w:color="auto" w:fill="FFFFFF" w:themeFill="background1"/>
                  <w:hideMark/>
                </w:tcPr>
                <w:p w:rsidRPr="00D70A17" w:rsidR="00D70A17" w:rsidP="00B05B0A" w:rsidRDefault="00D70A17" w14:paraId="4580822F" w14:textId="7DE2F26D">
                  <w:pPr>
                    <w:jc w:val="center"/>
                    <w:textAlignment w:val="baseline"/>
                    <w:rPr>
                      <w:rFonts w:ascii="Segoe UI" w:hAnsi="Segoe UI" w:eastAsia="Times New Roman" w:cs="Segoe UI"/>
                      <w:sz w:val="18"/>
                      <w:szCs w:val="18"/>
                      <w:lang w:eastAsia="en-GB"/>
                    </w:rPr>
                  </w:pPr>
                  <w:r w:rsidRPr="00D70A17">
                    <w:rPr>
                      <w:rFonts w:ascii="Arial" w:hAnsi="Arial" w:eastAsia="Times New Roman" w:cs="Arial"/>
                      <w:sz w:val="20"/>
                      <w:szCs w:val="20"/>
                      <w:lang w:eastAsia="en-GB"/>
                    </w:rPr>
                    <w:t>NRSWA</w:t>
                  </w:r>
                </w:p>
              </w:tc>
            </w:tr>
            <w:tr w:rsidRPr="00D70A17" w:rsidR="0078563F" w:rsidTr="00B05B0A" w14:paraId="372A5C44" w14:textId="77777777">
              <w:trPr>
                <w:trHeight w:val="248"/>
              </w:trPr>
              <w:tc>
                <w:tcPr>
                  <w:tcW w:w="3569" w:type="dxa"/>
                  <w:shd w:val="clear" w:color="auto" w:fill="FFFFFF" w:themeFill="background1"/>
                </w:tcPr>
                <w:p w:rsidRPr="00D70A17" w:rsidR="0078563F" w:rsidP="00B05B0A" w:rsidRDefault="0078563F" w14:paraId="3D041D24" w14:textId="51EAFBE1">
                  <w:pPr>
                    <w:jc w:val="center"/>
                    <w:textAlignment w:val="baseline"/>
                    <w:rPr>
                      <w:rFonts w:ascii="Arial" w:hAnsi="Arial" w:eastAsia="Times New Roman" w:cs="Arial"/>
                      <w:sz w:val="20"/>
                      <w:szCs w:val="20"/>
                      <w:lang w:eastAsia="en-GB"/>
                    </w:rPr>
                  </w:pPr>
                  <w:r>
                    <w:rPr>
                      <w:rFonts w:ascii="Arial" w:hAnsi="Arial" w:eastAsia="Times New Roman" w:cs="Arial"/>
                      <w:sz w:val="20"/>
                      <w:szCs w:val="20"/>
                      <w:lang w:eastAsia="en-GB"/>
                    </w:rPr>
                    <w:t>Neil Whalley</w:t>
                  </w:r>
                </w:p>
              </w:tc>
              <w:tc>
                <w:tcPr>
                  <w:tcW w:w="6756" w:type="dxa"/>
                  <w:shd w:val="clear" w:color="auto" w:fill="FFFFFF" w:themeFill="background1"/>
                </w:tcPr>
                <w:p w:rsidRPr="00D70A17" w:rsidR="0078563F" w:rsidP="00B05B0A" w:rsidRDefault="0078563F" w14:paraId="61DEB09D" w14:textId="6F286B30">
                  <w:pPr>
                    <w:jc w:val="center"/>
                    <w:textAlignment w:val="baseline"/>
                    <w:rPr>
                      <w:rFonts w:ascii="Arial" w:hAnsi="Arial" w:eastAsia="Times New Roman" w:cs="Arial"/>
                      <w:sz w:val="20"/>
                      <w:szCs w:val="20"/>
                      <w:lang w:eastAsia="en-GB"/>
                    </w:rPr>
                  </w:pPr>
                  <w:r>
                    <w:rPr>
                      <w:rFonts w:ascii="Arial" w:hAnsi="Arial" w:eastAsia="Times New Roman" w:cs="Arial"/>
                      <w:sz w:val="20"/>
                      <w:szCs w:val="20"/>
                      <w:lang w:eastAsia="en-GB"/>
                    </w:rPr>
                    <w:t>Environmental</w:t>
                  </w:r>
                  <w:bookmarkStart w:name="_GoBack" w:id="0"/>
                  <w:bookmarkEnd w:id="0"/>
                </w:p>
              </w:tc>
            </w:tr>
          </w:tbl>
          <w:p w:rsidR="004A5EE8" w:rsidP="00DB1958" w:rsidRDefault="004A5EE8" w14:paraId="36FBAF0B" w14:textId="77777777">
            <w:pPr>
              <w:tabs>
                <w:tab w:val="center" w:pos="4153"/>
                <w:tab w:val="right" w:pos="8306"/>
              </w:tabs>
              <w:rPr>
                <w:rFonts w:asciiTheme="minorHAnsi" w:hAnsiTheme="minorHAnsi"/>
                <w:bCs/>
                <w:color w:val="FFFFFF" w:themeColor="background1"/>
                <w:sz w:val="22"/>
                <w:szCs w:val="22"/>
              </w:rPr>
            </w:pPr>
          </w:p>
          <w:p w:rsidRPr="00B21B30" w:rsidR="00BF2E97" w:rsidP="00B807D8" w:rsidRDefault="00BF2E97" w14:paraId="043CB1BF" w14:textId="77777777">
            <w:pPr>
              <w:pStyle w:val="paragraph"/>
              <w:spacing w:before="0" w:beforeAutospacing="0" w:after="0" w:afterAutospacing="0"/>
              <w:textAlignment w:val="baseline"/>
              <w:rPr>
                <w:rFonts w:cs="Arial" w:asciiTheme="minorHAnsi" w:hAnsiTheme="minorHAnsi"/>
                <w:b/>
                <w:snapToGrid w:val="0"/>
                <w:color w:val="FFFFFF" w:themeColor="background1"/>
                <w:sz w:val="22"/>
                <w:szCs w:val="22"/>
              </w:rPr>
            </w:pPr>
          </w:p>
        </w:tc>
      </w:tr>
      <w:tr w:rsidRPr="00B21B30" w:rsidR="00BF2E97" w:rsidTr="007DB6EB" w14:paraId="0623EC63" w14:textId="77777777">
        <w:tc>
          <w:tcPr>
            <w:tcW w:w="10768" w:type="dxa"/>
            <w:gridSpan w:val="4"/>
            <w:shd w:val="clear" w:color="auto" w:fill="FFFFFF" w:themeFill="background1"/>
            <w:tcMar/>
          </w:tcPr>
          <w:p w:rsidRPr="00B21B30" w:rsidR="00BF2E97" w:rsidP="00DB1958" w:rsidRDefault="00BF2E97" w14:paraId="4EBEBB4A" w14:textId="77777777">
            <w:pPr>
              <w:jc w:val="center"/>
              <w:rPr>
                <w:rFonts w:asciiTheme="minorHAnsi" w:hAnsiTheme="minorHAnsi"/>
                <w:b/>
                <w:snapToGrid w:val="0"/>
                <w:sz w:val="24"/>
                <w:szCs w:val="22"/>
              </w:rPr>
            </w:pPr>
          </w:p>
        </w:tc>
      </w:tr>
      <w:tr w:rsidRPr="00D94269" w:rsidR="00BF2E97" w:rsidTr="007DB6EB" w14:paraId="4130754E" w14:textId="77777777">
        <w:tc>
          <w:tcPr>
            <w:tcW w:w="3403" w:type="dxa"/>
            <w:shd w:val="clear" w:color="auto" w:fill="44546A" w:themeFill="text2"/>
            <w:tcMar/>
            <w:vAlign w:val="center"/>
          </w:tcPr>
          <w:p w:rsidRPr="00D94269" w:rsidR="00BF2E97" w:rsidP="00DB1958" w:rsidRDefault="00BF2E97" w14:paraId="2B305806" w14:textId="77777777">
            <w:pPr>
              <w:rPr>
                <w:rFonts w:cs="Arial" w:asciiTheme="minorHAnsi" w:hAnsiTheme="minorHAnsi"/>
                <w:b/>
                <w:snapToGrid w:val="0"/>
                <w:color w:val="FFFFFF" w:themeColor="background1"/>
                <w:sz w:val="22"/>
                <w:szCs w:val="22"/>
                <w:lang w:eastAsia="en-US"/>
              </w:rPr>
            </w:pPr>
            <w:r>
              <w:rPr>
                <w:rFonts w:cs="Arial" w:asciiTheme="minorHAnsi" w:hAnsiTheme="minorHAnsi"/>
                <w:b/>
                <w:snapToGrid w:val="0"/>
                <w:color w:val="FFFFFF" w:themeColor="background1"/>
                <w:sz w:val="22"/>
                <w:szCs w:val="22"/>
                <w:lang w:eastAsia="en-US"/>
              </w:rPr>
              <w:t>Bidder Trial</w:t>
            </w:r>
          </w:p>
        </w:tc>
        <w:tc>
          <w:tcPr>
            <w:tcW w:w="2977" w:type="dxa"/>
            <w:shd w:val="clear" w:color="auto" w:fill="44546A" w:themeFill="text2"/>
            <w:tcMar/>
            <w:vAlign w:val="center"/>
          </w:tcPr>
          <w:p w:rsidRPr="00D94269" w:rsidR="00BF2E97" w:rsidP="00DB1958" w:rsidRDefault="00BF2E97" w14:paraId="78ADB1A6" w14:textId="77777777">
            <w:pPr>
              <w:tabs>
                <w:tab w:val="center" w:pos="4153"/>
                <w:tab w:val="right" w:pos="8306"/>
              </w:tabs>
              <w:jc w:val="center"/>
              <w:rPr>
                <w:rFonts w:cs="Arial" w:asciiTheme="minorHAnsi" w:hAnsiTheme="minorHAnsi"/>
                <w:b/>
                <w:snapToGrid w:val="0"/>
                <w:color w:val="FFFFFF" w:themeColor="background1"/>
                <w:sz w:val="22"/>
                <w:szCs w:val="22"/>
                <w:lang w:eastAsia="en-US"/>
              </w:rPr>
            </w:pPr>
            <w:r w:rsidRPr="00D94269">
              <w:rPr>
                <w:rFonts w:cs="Arial" w:asciiTheme="minorHAnsi" w:hAnsiTheme="minorHAnsi"/>
                <w:b/>
                <w:snapToGrid w:val="0"/>
                <w:color w:val="FFFFFF" w:themeColor="background1"/>
                <w:sz w:val="22"/>
                <w:szCs w:val="22"/>
                <w:lang w:eastAsia="en-US"/>
              </w:rPr>
              <w:t>Sub Criteria</w:t>
            </w:r>
          </w:p>
        </w:tc>
        <w:tc>
          <w:tcPr>
            <w:tcW w:w="2409" w:type="dxa"/>
            <w:tcBorders>
              <w:bottom w:val="single" w:color="auto" w:sz="4" w:space="0"/>
            </w:tcBorders>
            <w:shd w:val="clear" w:color="auto" w:fill="44546A" w:themeFill="text2"/>
            <w:tcMar/>
            <w:vAlign w:val="center"/>
          </w:tcPr>
          <w:p w:rsidRPr="00D94269" w:rsidR="00BF2E97" w:rsidP="00DB1958" w:rsidRDefault="00BF2E97" w14:paraId="3A85147B" w14:textId="77777777">
            <w:pPr>
              <w:tabs>
                <w:tab w:val="center" w:pos="4153"/>
                <w:tab w:val="right" w:pos="8306"/>
              </w:tabs>
              <w:jc w:val="center"/>
              <w:rPr>
                <w:rFonts w:cs="Arial" w:asciiTheme="minorHAnsi" w:hAnsiTheme="minorHAnsi"/>
                <w:b/>
                <w:snapToGrid w:val="0"/>
                <w:color w:val="FFFFFF" w:themeColor="background1"/>
                <w:sz w:val="22"/>
                <w:szCs w:val="22"/>
                <w:lang w:eastAsia="en-US"/>
              </w:rPr>
            </w:pPr>
            <w:r w:rsidRPr="00D94269">
              <w:rPr>
                <w:rFonts w:cs="Arial" w:asciiTheme="minorHAnsi" w:hAnsiTheme="minorHAnsi"/>
                <w:b/>
                <w:snapToGrid w:val="0"/>
                <w:color w:val="FFFFFF" w:themeColor="background1"/>
                <w:sz w:val="22"/>
                <w:szCs w:val="22"/>
                <w:lang w:eastAsia="en-US"/>
              </w:rPr>
              <w:t>Max Score</w:t>
            </w:r>
          </w:p>
        </w:tc>
        <w:tc>
          <w:tcPr>
            <w:tcW w:w="1979" w:type="dxa"/>
            <w:tcBorders>
              <w:bottom w:val="single" w:color="auto" w:sz="4" w:space="0"/>
            </w:tcBorders>
            <w:shd w:val="clear" w:color="auto" w:fill="44546A" w:themeFill="text2"/>
            <w:tcMar/>
            <w:vAlign w:val="center"/>
          </w:tcPr>
          <w:p w:rsidRPr="00D94269" w:rsidR="00BF2E97" w:rsidP="00DB1958" w:rsidRDefault="00BF2E97" w14:paraId="1E6F912C" w14:textId="77777777">
            <w:pPr>
              <w:tabs>
                <w:tab w:val="center" w:pos="4153"/>
                <w:tab w:val="right" w:pos="8306"/>
              </w:tabs>
              <w:jc w:val="center"/>
              <w:rPr>
                <w:rFonts w:cs="Arial" w:asciiTheme="minorHAnsi" w:hAnsiTheme="minorHAnsi"/>
                <w:b/>
                <w:snapToGrid w:val="0"/>
                <w:color w:val="FFFFFF" w:themeColor="background1"/>
                <w:sz w:val="22"/>
                <w:szCs w:val="22"/>
                <w:lang w:eastAsia="en-US"/>
              </w:rPr>
            </w:pPr>
            <w:r w:rsidRPr="00D94269">
              <w:rPr>
                <w:rFonts w:cs="Arial" w:asciiTheme="minorHAnsi" w:hAnsiTheme="minorHAnsi"/>
                <w:b/>
                <w:snapToGrid w:val="0"/>
                <w:color w:val="FFFFFF" w:themeColor="background1"/>
                <w:sz w:val="22"/>
                <w:szCs w:val="22"/>
                <w:lang w:eastAsia="en-US"/>
              </w:rPr>
              <w:t>Weighting</w:t>
            </w:r>
          </w:p>
          <w:p w:rsidRPr="00D94269" w:rsidR="00BF2E97" w:rsidP="00DB1958" w:rsidRDefault="00BF2E97" w14:paraId="3920FA56" w14:textId="77777777">
            <w:pPr>
              <w:tabs>
                <w:tab w:val="center" w:pos="4153"/>
                <w:tab w:val="right" w:pos="8306"/>
              </w:tabs>
              <w:jc w:val="center"/>
              <w:rPr>
                <w:rFonts w:cs="Arial" w:asciiTheme="minorHAnsi" w:hAnsiTheme="minorHAnsi"/>
                <w:b/>
                <w:snapToGrid w:val="0"/>
                <w:color w:val="FFFFFF" w:themeColor="background1"/>
                <w:sz w:val="22"/>
                <w:szCs w:val="22"/>
                <w:lang w:eastAsia="en-US"/>
              </w:rPr>
            </w:pPr>
            <w:r w:rsidRPr="00D94269">
              <w:rPr>
                <w:rFonts w:cs="Arial" w:asciiTheme="minorHAnsi" w:hAnsiTheme="minorHAnsi"/>
                <w:b/>
                <w:snapToGrid w:val="0"/>
                <w:color w:val="FFFFFF" w:themeColor="background1"/>
                <w:sz w:val="22"/>
                <w:szCs w:val="22"/>
                <w:lang w:eastAsia="en-US"/>
              </w:rPr>
              <w:t>(max 1</w:t>
            </w:r>
            <w:r>
              <w:rPr>
                <w:rFonts w:cs="Arial" w:asciiTheme="minorHAnsi" w:hAnsiTheme="minorHAnsi"/>
                <w:b/>
                <w:snapToGrid w:val="0"/>
                <w:color w:val="FFFFFF" w:themeColor="background1"/>
                <w:sz w:val="22"/>
                <w:szCs w:val="22"/>
                <w:lang w:eastAsia="en-US"/>
              </w:rPr>
              <w:t>0</w:t>
            </w:r>
            <w:r w:rsidRPr="00D94269">
              <w:rPr>
                <w:rFonts w:cs="Arial" w:asciiTheme="minorHAnsi" w:hAnsiTheme="minorHAnsi"/>
                <w:b/>
                <w:snapToGrid w:val="0"/>
                <w:color w:val="FFFFFF" w:themeColor="background1"/>
                <w:sz w:val="22"/>
                <w:szCs w:val="22"/>
                <w:lang w:eastAsia="en-US"/>
              </w:rPr>
              <w:t>0%)</w:t>
            </w:r>
          </w:p>
        </w:tc>
      </w:tr>
      <w:tr w:rsidRPr="00B21B30" w:rsidR="00BF2E97" w:rsidTr="007DB6EB" w14:paraId="3B2CF116" w14:textId="77777777">
        <w:tc>
          <w:tcPr>
            <w:tcW w:w="3403" w:type="dxa"/>
            <w:tcMar/>
            <w:vAlign w:val="center"/>
          </w:tcPr>
          <w:p w:rsidR="00BF2E97" w:rsidP="00DB1958" w:rsidRDefault="00CB7C33" w14:paraId="0BF5516A" w14:textId="25B9B963">
            <w:pPr>
              <w:rPr>
                <w:rFonts w:asciiTheme="minorHAnsi" w:hAnsiTheme="minorHAnsi"/>
                <w:bCs/>
              </w:rPr>
            </w:pPr>
            <w:r w:rsidRPr="00894663">
              <w:rPr>
                <w:rFonts w:asciiTheme="minorHAnsi" w:hAnsiTheme="minorHAnsi"/>
                <w:b/>
                <w:bCs/>
              </w:rPr>
              <w:t>Mobilisation Plan</w:t>
            </w:r>
            <w:r w:rsidR="00D66127">
              <w:rPr>
                <w:rFonts w:asciiTheme="minorHAnsi" w:hAnsiTheme="minorHAnsi"/>
                <w:bCs/>
              </w:rPr>
              <w:t xml:space="preserve"> - </w:t>
            </w:r>
            <w:r w:rsidRPr="00D66127" w:rsidR="00D66127">
              <w:rPr>
                <w:rFonts w:asciiTheme="minorHAnsi" w:hAnsiTheme="minorHAnsi"/>
                <w:bCs/>
              </w:rPr>
              <w:t>Please </w:t>
            </w:r>
            <w:r w:rsidR="00894663">
              <w:rPr>
                <w:rFonts w:asciiTheme="minorHAnsi" w:hAnsiTheme="minorHAnsi"/>
                <w:bCs/>
              </w:rPr>
              <w:t>detail</w:t>
            </w:r>
            <w:r w:rsidR="00A455BA">
              <w:rPr>
                <w:rFonts w:asciiTheme="minorHAnsi" w:hAnsiTheme="minorHAnsi"/>
                <w:bCs/>
              </w:rPr>
              <w:t xml:space="preserve"> </w:t>
            </w:r>
            <w:r w:rsidR="00D66127">
              <w:rPr>
                <w:rFonts w:asciiTheme="minorHAnsi" w:hAnsiTheme="minorHAnsi"/>
                <w:bCs/>
              </w:rPr>
              <w:t>your organisation</w:t>
            </w:r>
            <w:r w:rsidR="00A455BA">
              <w:rPr>
                <w:rFonts w:asciiTheme="minorHAnsi" w:hAnsiTheme="minorHAnsi"/>
                <w:bCs/>
              </w:rPr>
              <w:t xml:space="preserve">s proposed </w:t>
            </w:r>
            <w:r w:rsidRPr="00D66127" w:rsidR="00D66127">
              <w:rPr>
                <w:rFonts w:asciiTheme="minorHAnsi" w:hAnsiTheme="minorHAnsi"/>
                <w:bCs/>
              </w:rPr>
              <w:t>mobilis</w:t>
            </w:r>
            <w:r w:rsidR="00A455BA">
              <w:rPr>
                <w:rFonts w:asciiTheme="minorHAnsi" w:hAnsiTheme="minorHAnsi"/>
                <w:bCs/>
              </w:rPr>
              <w:t>ation</w:t>
            </w:r>
            <w:r w:rsidRPr="00D66127" w:rsidR="00D66127">
              <w:rPr>
                <w:rFonts w:asciiTheme="minorHAnsi" w:hAnsiTheme="minorHAnsi"/>
                <w:bCs/>
              </w:rPr>
              <w:t xml:space="preserve"> plan</w:t>
            </w:r>
            <w:r w:rsidR="00755819">
              <w:rPr>
                <w:rFonts w:asciiTheme="minorHAnsi" w:hAnsiTheme="minorHAnsi"/>
                <w:bCs/>
              </w:rPr>
              <w:t xml:space="preserve"> from 1</w:t>
            </w:r>
            <w:r w:rsidRPr="00755819" w:rsidR="00755819">
              <w:rPr>
                <w:rFonts w:asciiTheme="minorHAnsi" w:hAnsiTheme="minorHAnsi"/>
                <w:bCs/>
                <w:vertAlign w:val="superscript"/>
              </w:rPr>
              <w:t>st</w:t>
            </w:r>
            <w:r w:rsidR="00755819">
              <w:rPr>
                <w:rFonts w:asciiTheme="minorHAnsi" w:hAnsiTheme="minorHAnsi"/>
                <w:bCs/>
              </w:rPr>
              <w:t xml:space="preserve"> September 2020</w:t>
            </w:r>
            <w:r w:rsidRPr="00D66127" w:rsidR="00D66127">
              <w:rPr>
                <w:rFonts w:asciiTheme="minorHAnsi" w:hAnsiTheme="minorHAnsi"/>
                <w:bCs/>
              </w:rPr>
              <w:t xml:space="preserve"> </w:t>
            </w:r>
            <w:r w:rsidR="00101BDC">
              <w:rPr>
                <w:rFonts w:asciiTheme="minorHAnsi" w:hAnsiTheme="minorHAnsi"/>
                <w:bCs/>
              </w:rPr>
              <w:t>(if successfully awarded onto this contract)</w:t>
            </w:r>
            <w:r w:rsidR="0035448E">
              <w:rPr>
                <w:rFonts w:asciiTheme="minorHAnsi" w:hAnsiTheme="minorHAnsi"/>
                <w:bCs/>
              </w:rPr>
              <w:t xml:space="preserve"> which should </w:t>
            </w:r>
            <w:r w:rsidR="009F4430">
              <w:rPr>
                <w:rFonts w:asciiTheme="minorHAnsi" w:hAnsiTheme="minorHAnsi"/>
                <w:bCs/>
              </w:rPr>
              <w:t xml:space="preserve">contain as a minimum </w:t>
            </w:r>
            <w:r w:rsidR="0035448E">
              <w:rPr>
                <w:rFonts w:asciiTheme="minorHAnsi" w:hAnsiTheme="minorHAnsi"/>
                <w:bCs/>
              </w:rPr>
              <w:t xml:space="preserve">the </w:t>
            </w:r>
            <w:r w:rsidR="009F4430">
              <w:rPr>
                <w:rFonts w:asciiTheme="minorHAnsi" w:hAnsiTheme="minorHAnsi"/>
                <w:bCs/>
              </w:rPr>
              <w:t>following: -</w:t>
            </w:r>
          </w:p>
          <w:p w:rsidRPr="002053BC" w:rsidR="0035448E" w:rsidP="0035448E" w:rsidRDefault="0035448E" w14:paraId="0B83B288" w14:textId="524D58FC">
            <w:pPr>
              <w:pStyle w:val="ListParagraph"/>
              <w:numPr>
                <w:ilvl w:val="0"/>
                <w:numId w:val="6"/>
              </w:numPr>
              <w:rPr>
                <w:rFonts w:eastAsia="Times New Roman" w:asciiTheme="minorHAnsi" w:hAnsiTheme="minorHAnsi"/>
                <w:bCs/>
                <w:sz w:val="20"/>
                <w:szCs w:val="20"/>
                <w:lang w:eastAsia="en-GB"/>
              </w:rPr>
            </w:pPr>
            <w:r w:rsidRPr="002053BC">
              <w:rPr>
                <w:rFonts w:eastAsia="Times New Roman" w:asciiTheme="minorHAnsi" w:hAnsiTheme="minorHAnsi"/>
                <w:bCs/>
                <w:sz w:val="20"/>
                <w:szCs w:val="20"/>
                <w:lang w:eastAsia="en-GB"/>
              </w:rPr>
              <w:t xml:space="preserve">Detailed </w:t>
            </w:r>
            <w:r w:rsidR="0014274B">
              <w:rPr>
                <w:rFonts w:eastAsia="Times New Roman" w:asciiTheme="minorHAnsi" w:hAnsiTheme="minorHAnsi"/>
                <w:bCs/>
                <w:sz w:val="20"/>
                <w:szCs w:val="20"/>
                <w:lang w:eastAsia="en-GB"/>
              </w:rPr>
              <w:t>t</w:t>
            </w:r>
            <w:r w:rsidRPr="002053BC">
              <w:rPr>
                <w:rFonts w:eastAsia="Times New Roman" w:asciiTheme="minorHAnsi" w:hAnsiTheme="minorHAnsi"/>
                <w:bCs/>
                <w:sz w:val="20"/>
                <w:szCs w:val="20"/>
                <w:lang w:eastAsia="en-GB"/>
              </w:rPr>
              <w:t xml:space="preserve">imeline </w:t>
            </w:r>
            <w:r w:rsidR="00E913CD">
              <w:rPr>
                <w:rFonts w:eastAsia="Times New Roman" w:asciiTheme="minorHAnsi" w:hAnsiTheme="minorHAnsi"/>
                <w:bCs/>
                <w:sz w:val="20"/>
                <w:szCs w:val="20"/>
                <w:lang w:eastAsia="en-GB"/>
              </w:rPr>
              <w:t>for mobilisation</w:t>
            </w:r>
            <w:r w:rsidRPr="002053BC" w:rsidR="002053BC">
              <w:rPr>
                <w:rFonts w:eastAsia="Times New Roman" w:asciiTheme="minorHAnsi" w:hAnsiTheme="minorHAnsi"/>
                <w:bCs/>
                <w:sz w:val="20"/>
                <w:szCs w:val="20"/>
                <w:lang w:eastAsia="en-GB"/>
              </w:rPr>
              <w:t xml:space="preserve"> and processes</w:t>
            </w:r>
            <w:r w:rsidR="00A677F6">
              <w:rPr>
                <w:rFonts w:eastAsia="Times New Roman" w:asciiTheme="minorHAnsi" w:hAnsiTheme="minorHAnsi"/>
                <w:bCs/>
                <w:sz w:val="20"/>
                <w:szCs w:val="20"/>
                <w:lang w:eastAsia="en-GB"/>
              </w:rPr>
              <w:t>/procedures</w:t>
            </w:r>
            <w:r w:rsidRPr="002053BC" w:rsidR="002053BC">
              <w:rPr>
                <w:rFonts w:eastAsia="Times New Roman" w:asciiTheme="minorHAnsi" w:hAnsiTheme="minorHAnsi"/>
                <w:bCs/>
                <w:sz w:val="20"/>
                <w:szCs w:val="20"/>
                <w:lang w:eastAsia="en-GB"/>
              </w:rPr>
              <w:t xml:space="preserve"> required</w:t>
            </w:r>
            <w:r w:rsidR="0014274B">
              <w:rPr>
                <w:rFonts w:eastAsia="Times New Roman" w:asciiTheme="minorHAnsi" w:hAnsiTheme="minorHAnsi"/>
                <w:bCs/>
                <w:sz w:val="20"/>
                <w:szCs w:val="20"/>
                <w:lang w:eastAsia="en-GB"/>
              </w:rPr>
              <w:t xml:space="preserve"> </w:t>
            </w:r>
          </w:p>
          <w:p w:rsidRPr="00063719" w:rsidR="00956E3B" w:rsidP="00063719" w:rsidRDefault="002053BC" w14:paraId="7B1116C9" w14:textId="1673067F">
            <w:pPr>
              <w:pStyle w:val="ListParagraph"/>
              <w:numPr>
                <w:ilvl w:val="0"/>
                <w:numId w:val="6"/>
              </w:numPr>
              <w:rPr>
                <w:rFonts w:eastAsia="Times New Roman" w:asciiTheme="minorHAnsi" w:hAnsiTheme="minorHAnsi"/>
                <w:bCs/>
                <w:sz w:val="20"/>
                <w:szCs w:val="20"/>
                <w:lang w:eastAsia="en-GB"/>
              </w:rPr>
            </w:pPr>
            <w:r>
              <w:rPr>
                <w:rFonts w:eastAsia="Times New Roman" w:asciiTheme="minorHAnsi" w:hAnsiTheme="minorHAnsi"/>
                <w:bCs/>
                <w:sz w:val="20"/>
                <w:szCs w:val="20"/>
                <w:lang w:eastAsia="en-GB"/>
              </w:rPr>
              <w:t xml:space="preserve">Resource Planning </w:t>
            </w:r>
            <w:r w:rsidR="0054514F">
              <w:rPr>
                <w:rFonts w:eastAsia="Times New Roman" w:asciiTheme="minorHAnsi" w:hAnsiTheme="minorHAnsi"/>
                <w:bCs/>
                <w:sz w:val="20"/>
                <w:szCs w:val="20"/>
                <w:lang w:eastAsia="en-GB"/>
              </w:rPr>
              <w:t>(</w:t>
            </w:r>
            <w:r w:rsidR="00BE51AA">
              <w:rPr>
                <w:rFonts w:eastAsia="Times New Roman" w:asciiTheme="minorHAnsi" w:hAnsiTheme="minorHAnsi"/>
                <w:bCs/>
                <w:sz w:val="20"/>
                <w:szCs w:val="20"/>
                <w:lang w:eastAsia="en-GB"/>
              </w:rPr>
              <w:t xml:space="preserve">depots, </w:t>
            </w:r>
            <w:r w:rsidR="0054514F">
              <w:rPr>
                <w:rFonts w:eastAsia="Times New Roman" w:asciiTheme="minorHAnsi" w:hAnsiTheme="minorHAnsi"/>
                <w:bCs/>
                <w:sz w:val="20"/>
                <w:szCs w:val="20"/>
                <w:lang w:eastAsia="en-GB"/>
              </w:rPr>
              <w:t>employees, plant, equipment &amp; vehicles)</w:t>
            </w:r>
          </w:p>
        </w:tc>
        <w:tc>
          <w:tcPr>
            <w:tcW w:w="2977" w:type="dxa"/>
            <w:tcMar/>
            <w:vAlign w:val="center"/>
          </w:tcPr>
          <w:p w:rsidRPr="00E65F74" w:rsidR="00DE05C0" w:rsidP="00E65F74" w:rsidRDefault="007E2B65" w14:paraId="5F8C0AC7" w14:textId="67C4DFF4">
            <w:pPr>
              <w:tabs>
                <w:tab w:val="center" w:pos="4153"/>
                <w:tab w:val="right" w:pos="8306"/>
              </w:tabs>
              <w:rPr>
                <w:rFonts w:asciiTheme="minorHAnsi" w:hAnsiTheme="minorHAnsi"/>
                <w:bCs/>
              </w:rPr>
            </w:pPr>
            <w:r>
              <w:rPr>
                <w:rFonts w:asciiTheme="minorHAnsi" w:hAnsiTheme="minorHAnsi"/>
                <w:bCs/>
              </w:rPr>
              <w:t xml:space="preserve">Responses will be reviewed by the NGN evaluation panel following the below scoring methodology for each section within the KPI table </w:t>
            </w:r>
          </w:p>
        </w:tc>
        <w:tc>
          <w:tcPr>
            <w:tcW w:w="2409" w:type="dxa"/>
            <w:tcBorders>
              <w:bottom w:val="single" w:color="auto" w:sz="4" w:space="0"/>
            </w:tcBorders>
            <w:tcMar/>
          </w:tcPr>
          <w:p w:rsidR="00BF2E97" w:rsidP="00DB1958" w:rsidRDefault="00BF2E97" w14:paraId="1A865986" w14:textId="77777777">
            <w:pPr>
              <w:jc w:val="center"/>
            </w:pPr>
          </w:p>
          <w:p w:rsidR="008A788C" w:rsidP="00DB1958" w:rsidRDefault="008A788C" w14:paraId="2DF2A504" w14:textId="77777777">
            <w:pPr>
              <w:jc w:val="center"/>
              <w:rPr>
                <w:rFonts w:asciiTheme="minorHAnsi" w:hAnsiTheme="minorHAnsi"/>
                <w:bCs/>
              </w:rPr>
            </w:pPr>
          </w:p>
          <w:p w:rsidR="008A788C" w:rsidP="00DB1958" w:rsidRDefault="008A788C" w14:paraId="3C55218A" w14:textId="77777777">
            <w:pPr>
              <w:jc w:val="center"/>
              <w:rPr>
                <w:rFonts w:asciiTheme="minorHAnsi" w:hAnsiTheme="minorHAnsi"/>
                <w:bCs/>
              </w:rPr>
            </w:pPr>
          </w:p>
          <w:p w:rsidR="008A788C" w:rsidP="00DB1958" w:rsidRDefault="008A788C" w14:paraId="48D76808" w14:textId="77777777">
            <w:pPr>
              <w:jc w:val="center"/>
              <w:rPr>
                <w:rFonts w:asciiTheme="minorHAnsi" w:hAnsiTheme="minorHAnsi"/>
                <w:bCs/>
              </w:rPr>
            </w:pPr>
          </w:p>
          <w:p w:rsidR="008A788C" w:rsidP="00DB1958" w:rsidRDefault="008A788C" w14:paraId="578F8290" w14:textId="77777777">
            <w:pPr>
              <w:jc w:val="center"/>
              <w:rPr>
                <w:rFonts w:asciiTheme="minorHAnsi" w:hAnsiTheme="minorHAnsi"/>
                <w:bCs/>
              </w:rPr>
            </w:pPr>
          </w:p>
          <w:p w:rsidR="00D9457D" w:rsidP="00DB1958" w:rsidRDefault="00D9457D" w14:paraId="7E507826" w14:textId="77777777">
            <w:pPr>
              <w:jc w:val="center"/>
              <w:rPr>
                <w:rFonts w:asciiTheme="minorHAnsi" w:hAnsiTheme="minorHAnsi"/>
                <w:bCs/>
              </w:rPr>
            </w:pPr>
          </w:p>
          <w:p w:rsidR="00D9457D" w:rsidP="00DB1958" w:rsidRDefault="00D9457D" w14:paraId="573A8754" w14:textId="77777777">
            <w:pPr>
              <w:jc w:val="center"/>
              <w:rPr>
                <w:rFonts w:asciiTheme="minorHAnsi" w:hAnsiTheme="minorHAnsi"/>
                <w:bCs/>
              </w:rPr>
            </w:pPr>
          </w:p>
          <w:p w:rsidRPr="001D2A22" w:rsidR="00BF2E97" w:rsidP="00DB1958" w:rsidRDefault="00BF2E97" w14:paraId="2F252C5E" w14:textId="701E589E">
            <w:pPr>
              <w:jc w:val="center"/>
              <w:rPr>
                <w:rFonts w:asciiTheme="minorHAnsi" w:hAnsiTheme="minorHAnsi"/>
                <w:bCs/>
              </w:rPr>
            </w:pPr>
            <w:r w:rsidRPr="002B12F2">
              <w:rPr>
                <w:rFonts w:asciiTheme="minorHAnsi" w:hAnsiTheme="minorHAnsi"/>
                <w:bCs/>
              </w:rPr>
              <w:t>10</w:t>
            </w:r>
          </w:p>
        </w:tc>
        <w:tc>
          <w:tcPr>
            <w:tcW w:w="1979" w:type="dxa"/>
            <w:tcBorders>
              <w:bottom w:val="single" w:color="auto" w:sz="4" w:space="0"/>
            </w:tcBorders>
            <w:shd w:val="clear" w:color="auto" w:fill="auto"/>
            <w:tcMar/>
            <w:vAlign w:val="center"/>
          </w:tcPr>
          <w:p w:rsidRPr="00962A48" w:rsidR="00BF2E97" w:rsidP="00DB1958" w:rsidRDefault="00962A48" w14:paraId="4023DEF3" w14:textId="39548212">
            <w:pPr>
              <w:jc w:val="center"/>
              <w:rPr>
                <w:rFonts w:asciiTheme="minorHAnsi" w:hAnsiTheme="minorHAnsi"/>
                <w:b/>
                <w:bCs/>
              </w:rPr>
            </w:pPr>
            <w:r>
              <w:rPr>
                <w:rFonts w:asciiTheme="minorHAnsi" w:hAnsiTheme="minorHAnsi"/>
                <w:b/>
                <w:bCs/>
              </w:rPr>
              <w:t>3</w:t>
            </w:r>
            <w:r w:rsidRPr="00962A48">
              <w:rPr>
                <w:rFonts w:asciiTheme="minorHAnsi" w:hAnsiTheme="minorHAnsi"/>
                <w:b/>
                <w:bCs/>
              </w:rPr>
              <w:t>0%</w:t>
            </w:r>
          </w:p>
        </w:tc>
      </w:tr>
      <w:tr w:rsidRPr="00B21B30" w:rsidR="00383481" w:rsidTr="007DB6EB" w14:paraId="318E138A" w14:textId="77777777">
        <w:tc>
          <w:tcPr>
            <w:tcW w:w="3403" w:type="dxa"/>
            <w:tcMar/>
            <w:vAlign w:val="center"/>
          </w:tcPr>
          <w:p w:rsidRPr="001D2A22" w:rsidR="00383481" w:rsidP="7785FA31" w:rsidRDefault="00383481" w14:paraId="4629A68B" w14:textId="3670B200">
            <w:pPr>
              <w:rPr>
                <w:rFonts w:ascii="Calibri" w:hAnsi="Calibri" w:asciiTheme="minorAscii" w:hAnsiTheme="minorAscii"/>
              </w:rPr>
            </w:pPr>
            <w:r w:rsidRPr="007DB6EB" w:rsidR="00383481">
              <w:rPr>
                <w:rFonts w:ascii="Calibri" w:hAnsi="Calibri" w:asciiTheme="minorAscii" w:hAnsiTheme="minorAscii"/>
                <w:b w:val="1"/>
                <w:bCs w:val="1"/>
              </w:rPr>
              <w:t xml:space="preserve">Contract </w:t>
            </w:r>
            <w:r w:rsidRPr="007DB6EB" w:rsidR="5A54FAAA">
              <w:rPr>
                <w:rFonts w:ascii="Calibri" w:hAnsi="Calibri" w:asciiTheme="minorAscii" w:hAnsiTheme="minorAscii"/>
                <w:b w:val="1"/>
                <w:bCs w:val="1"/>
              </w:rPr>
              <w:t xml:space="preserve">Fulfilment </w:t>
            </w:r>
            <w:r w:rsidRPr="007DB6EB" w:rsidR="00383481">
              <w:rPr>
                <w:rFonts w:ascii="Calibri" w:hAnsi="Calibri" w:asciiTheme="minorAscii" w:hAnsiTheme="minorAscii"/>
                <w:b w:val="1"/>
                <w:bCs w:val="1"/>
              </w:rPr>
              <w:t xml:space="preserve">– </w:t>
            </w:r>
            <w:r w:rsidRPr="007DB6EB" w:rsidR="00383481">
              <w:rPr>
                <w:rFonts w:ascii="Calibri" w:hAnsi="Calibri" w:asciiTheme="minorAscii" w:hAnsiTheme="minorAscii"/>
              </w:rPr>
              <w:t>P</w:t>
            </w:r>
            <w:r w:rsidRPr="007DB6EB" w:rsidR="00383481">
              <w:rPr>
                <w:rFonts w:ascii="Calibri" w:hAnsi="Calibri" w:asciiTheme="minorAscii" w:hAnsiTheme="minorAscii"/>
              </w:rPr>
              <w:t>lease detai</w:t>
            </w:r>
            <w:r w:rsidRPr="007DB6EB" w:rsidR="00383481">
              <w:rPr>
                <w:rFonts w:ascii="Calibri" w:hAnsi="Calibri" w:asciiTheme="minorAscii" w:hAnsiTheme="minorAscii"/>
              </w:rPr>
              <w:t xml:space="preserve">l how you will achieve NGNs stated </w:t>
            </w:r>
            <w:r w:rsidRPr="007DB6EB" w:rsidR="004679A2">
              <w:rPr>
                <w:rFonts w:ascii="Calibri" w:hAnsi="Calibri" w:asciiTheme="minorAscii" w:hAnsiTheme="minorAscii"/>
              </w:rPr>
              <w:t xml:space="preserve">performance </w:t>
            </w:r>
            <w:r w:rsidRPr="007DB6EB" w:rsidR="004679A2">
              <w:rPr>
                <w:rFonts w:ascii="Calibri" w:hAnsi="Calibri" w:asciiTheme="minorAscii" w:hAnsiTheme="minorAscii"/>
                <w:u w:val="single"/>
              </w:rPr>
              <w:t>incentive awards</w:t>
            </w:r>
            <w:r w:rsidRPr="007DB6EB" w:rsidR="004679A2">
              <w:rPr>
                <w:rFonts w:ascii="Calibri" w:hAnsi="Calibri" w:asciiTheme="minorAscii" w:hAnsiTheme="minorAscii"/>
              </w:rPr>
              <w:t xml:space="preserve"> within the </w:t>
            </w:r>
            <w:r w:rsidRPr="007DB6EB" w:rsidR="00383481">
              <w:rPr>
                <w:rFonts w:ascii="Calibri" w:hAnsi="Calibri" w:asciiTheme="minorAscii" w:hAnsiTheme="minorAscii"/>
              </w:rPr>
              <w:t>key performance indicators (KPIs) as detailed within the contract for each year of the initial contract term (3 years)</w:t>
            </w:r>
          </w:p>
        </w:tc>
        <w:tc>
          <w:tcPr>
            <w:tcW w:w="2977" w:type="dxa"/>
            <w:tcMar/>
            <w:vAlign w:val="center"/>
          </w:tcPr>
          <w:p w:rsidRPr="00AE1B39" w:rsidR="00383481" w:rsidP="00AE1B39" w:rsidRDefault="00383481" w14:paraId="2668610C" w14:textId="45B477F3">
            <w:pPr>
              <w:tabs>
                <w:tab w:val="center" w:pos="4153"/>
                <w:tab w:val="right" w:pos="8306"/>
              </w:tabs>
              <w:rPr>
                <w:rFonts w:asciiTheme="minorHAnsi" w:hAnsiTheme="minorHAnsi"/>
                <w:bCs/>
              </w:rPr>
            </w:pPr>
            <w:r>
              <w:rPr>
                <w:rFonts w:asciiTheme="minorHAnsi" w:hAnsiTheme="minorHAnsi"/>
                <w:bCs/>
              </w:rPr>
              <w:t>Responses will be reviewed by the NGN evaluation panel following the below scoring methodology for each section within the KPI table</w:t>
            </w:r>
          </w:p>
        </w:tc>
        <w:tc>
          <w:tcPr>
            <w:tcW w:w="2409" w:type="dxa"/>
            <w:tcBorders>
              <w:top w:val="single" w:color="auto" w:sz="4" w:space="0"/>
            </w:tcBorders>
            <w:tcMar/>
            <w:vAlign w:val="center"/>
          </w:tcPr>
          <w:p w:rsidR="00383481" w:rsidP="00E66437" w:rsidRDefault="00383481" w14:paraId="1FDA94AE" w14:textId="6E7A74F9">
            <w:pPr>
              <w:rPr>
                <w:rFonts w:asciiTheme="minorHAnsi" w:hAnsiTheme="minorHAnsi"/>
                <w:bCs/>
              </w:rPr>
            </w:pPr>
            <w:r>
              <w:rPr>
                <w:rFonts w:asciiTheme="minorHAnsi" w:hAnsiTheme="minorHAnsi"/>
                <w:bCs/>
              </w:rPr>
              <w:t>Safety – 50 points</w:t>
            </w:r>
          </w:p>
          <w:p w:rsidR="00383481" w:rsidP="00E66437" w:rsidRDefault="00383481" w14:paraId="1F869A80" w14:textId="1CA150F6">
            <w:pPr>
              <w:rPr>
                <w:rFonts w:asciiTheme="minorHAnsi" w:hAnsiTheme="minorHAnsi"/>
                <w:bCs/>
              </w:rPr>
            </w:pPr>
            <w:r>
              <w:rPr>
                <w:rFonts w:asciiTheme="minorHAnsi" w:hAnsiTheme="minorHAnsi"/>
                <w:bCs/>
              </w:rPr>
              <w:t>Customer – 40 points</w:t>
            </w:r>
          </w:p>
          <w:p w:rsidR="00383481" w:rsidP="00E66437" w:rsidRDefault="00383481" w14:paraId="09E1D853" w14:textId="6AE66B24">
            <w:pPr>
              <w:rPr>
                <w:rFonts w:asciiTheme="minorHAnsi" w:hAnsiTheme="minorHAnsi"/>
                <w:bCs/>
              </w:rPr>
            </w:pPr>
            <w:r>
              <w:rPr>
                <w:rFonts w:asciiTheme="minorHAnsi" w:hAnsiTheme="minorHAnsi"/>
                <w:bCs/>
              </w:rPr>
              <w:t>Performance – 20 points</w:t>
            </w:r>
          </w:p>
          <w:p w:rsidR="00383481" w:rsidP="00E66437" w:rsidRDefault="00383481" w14:paraId="3834A7FE" w14:textId="24A9397E">
            <w:pPr>
              <w:rPr>
                <w:rFonts w:asciiTheme="minorHAnsi" w:hAnsiTheme="minorHAnsi"/>
                <w:bCs/>
              </w:rPr>
            </w:pPr>
            <w:r>
              <w:rPr>
                <w:rFonts w:asciiTheme="minorHAnsi" w:hAnsiTheme="minorHAnsi"/>
                <w:bCs/>
              </w:rPr>
              <w:t>Environmental – 60 point</w:t>
            </w:r>
          </w:p>
          <w:p w:rsidR="00383481" w:rsidP="007DB6EB" w:rsidRDefault="00383481" w14:paraId="571D8BD2" w14:textId="6843A105">
            <w:pPr>
              <w:rPr>
                <w:rFonts w:ascii="Calibri" w:hAnsi="Calibri" w:asciiTheme="minorAscii" w:hAnsiTheme="minorAscii"/>
                <w:highlight w:val="yellow"/>
              </w:rPr>
            </w:pPr>
            <w:r w:rsidRPr="007DB6EB" w:rsidR="00383481">
              <w:rPr>
                <w:rFonts w:ascii="Calibri" w:hAnsi="Calibri" w:asciiTheme="minorAscii" w:hAnsiTheme="minorAscii"/>
              </w:rPr>
              <w:t xml:space="preserve">Stakeholder – </w:t>
            </w:r>
            <w:r w:rsidRPr="007DB6EB" w:rsidR="00383481">
              <w:rPr>
                <w:rFonts w:ascii="Calibri" w:hAnsi="Calibri" w:asciiTheme="minorAscii" w:hAnsiTheme="minorAscii"/>
              </w:rPr>
              <w:t>40 points</w:t>
            </w:r>
          </w:p>
          <w:p w:rsidR="00D97CDC" w:rsidP="00D97CDC" w:rsidRDefault="00D97CDC" w14:paraId="2F3C3B27" w14:textId="77777777">
            <w:pPr>
              <w:rPr>
                <w:rFonts w:asciiTheme="minorHAnsi" w:hAnsiTheme="minorHAnsi"/>
                <w:b/>
                <w:bCs/>
              </w:rPr>
            </w:pPr>
          </w:p>
          <w:p w:rsidRPr="00D97CDC" w:rsidR="00D97CDC" w:rsidP="00D97CDC" w:rsidRDefault="00E312AE" w14:paraId="0B71B6F6" w14:textId="43CA27CC">
            <w:pPr>
              <w:rPr>
                <w:rFonts w:asciiTheme="minorHAnsi" w:hAnsiTheme="minorHAnsi"/>
                <w:b/>
                <w:bCs/>
              </w:rPr>
            </w:pPr>
            <w:r w:rsidRPr="00D97CDC">
              <w:rPr>
                <w:rFonts w:asciiTheme="minorHAnsi" w:hAnsiTheme="minorHAnsi"/>
                <w:b/>
                <w:bCs/>
              </w:rPr>
              <w:t>Total Points</w:t>
            </w:r>
            <w:r w:rsidRPr="00D97CDC" w:rsidR="00E66437">
              <w:rPr>
                <w:rFonts w:asciiTheme="minorHAnsi" w:hAnsiTheme="minorHAnsi"/>
                <w:b/>
                <w:bCs/>
              </w:rPr>
              <w:t xml:space="preserve"> </w:t>
            </w:r>
            <w:r w:rsidRPr="00D97CDC" w:rsidR="00D97CDC">
              <w:rPr>
                <w:rFonts w:asciiTheme="minorHAnsi" w:hAnsiTheme="minorHAnsi"/>
                <w:b/>
                <w:bCs/>
              </w:rPr>
              <w:t>–</w:t>
            </w:r>
            <w:r w:rsidRPr="00D97CDC" w:rsidR="00E66437">
              <w:rPr>
                <w:rFonts w:asciiTheme="minorHAnsi" w:hAnsiTheme="minorHAnsi"/>
                <w:b/>
                <w:bCs/>
              </w:rPr>
              <w:t xml:space="preserve"> </w:t>
            </w:r>
            <w:r w:rsidRPr="00D97CDC" w:rsidR="00D97CDC">
              <w:rPr>
                <w:rFonts w:asciiTheme="minorHAnsi" w:hAnsiTheme="minorHAnsi"/>
                <w:b/>
                <w:bCs/>
              </w:rPr>
              <w:t>190 points</w:t>
            </w:r>
          </w:p>
        </w:tc>
        <w:tc>
          <w:tcPr>
            <w:tcW w:w="1979" w:type="dxa"/>
            <w:tcBorders>
              <w:top w:val="single" w:color="auto" w:sz="4" w:space="0"/>
            </w:tcBorders>
            <w:tcMar/>
            <w:vAlign w:val="center"/>
          </w:tcPr>
          <w:p w:rsidR="00383481" w:rsidP="00E312AE" w:rsidRDefault="00383481" w14:paraId="12BFB346" w14:textId="510C23B6">
            <w:pPr>
              <w:jc w:val="center"/>
              <w:rPr>
                <w:rFonts w:asciiTheme="minorHAnsi" w:hAnsiTheme="minorHAnsi"/>
                <w:bCs/>
              </w:rPr>
            </w:pPr>
            <w:r>
              <w:rPr>
                <w:rFonts w:asciiTheme="minorHAnsi" w:hAnsiTheme="minorHAnsi"/>
                <w:bCs/>
              </w:rPr>
              <w:t xml:space="preserve">Safety – </w:t>
            </w:r>
            <w:r w:rsidR="00943254">
              <w:rPr>
                <w:rFonts w:asciiTheme="minorHAnsi" w:hAnsiTheme="minorHAnsi"/>
                <w:bCs/>
              </w:rPr>
              <w:t>1</w:t>
            </w:r>
            <w:r w:rsidR="00135EB3">
              <w:rPr>
                <w:rFonts w:asciiTheme="minorHAnsi" w:hAnsiTheme="minorHAnsi"/>
                <w:bCs/>
              </w:rPr>
              <w:t>5</w:t>
            </w:r>
            <w:r w:rsidR="00FD2E81">
              <w:rPr>
                <w:rFonts w:asciiTheme="minorHAnsi" w:hAnsiTheme="minorHAnsi"/>
                <w:bCs/>
              </w:rPr>
              <w:t>%</w:t>
            </w:r>
          </w:p>
          <w:p w:rsidR="00383481" w:rsidP="00E312AE" w:rsidRDefault="00383481" w14:paraId="5F4D502E" w14:textId="7AC65E7E">
            <w:pPr>
              <w:jc w:val="center"/>
              <w:rPr>
                <w:rFonts w:asciiTheme="minorHAnsi" w:hAnsiTheme="minorHAnsi"/>
                <w:bCs/>
              </w:rPr>
            </w:pPr>
            <w:r>
              <w:rPr>
                <w:rFonts w:asciiTheme="minorHAnsi" w:hAnsiTheme="minorHAnsi"/>
                <w:bCs/>
              </w:rPr>
              <w:t>Customer – 1</w:t>
            </w:r>
            <w:r w:rsidR="00135EB3">
              <w:rPr>
                <w:rFonts w:asciiTheme="minorHAnsi" w:hAnsiTheme="minorHAnsi"/>
                <w:bCs/>
              </w:rPr>
              <w:t>5</w:t>
            </w:r>
            <w:r>
              <w:rPr>
                <w:rFonts w:asciiTheme="minorHAnsi" w:hAnsiTheme="minorHAnsi"/>
                <w:bCs/>
              </w:rPr>
              <w:t>%</w:t>
            </w:r>
          </w:p>
          <w:p w:rsidR="00383481" w:rsidP="00E312AE" w:rsidRDefault="00383481" w14:paraId="3409E70D" w14:textId="52C88F83">
            <w:pPr>
              <w:jc w:val="center"/>
              <w:rPr>
                <w:rFonts w:asciiTheme="minorHAnsi" w:hAnsiTheme="minorHAnsi"/>
                <w:bCs/>
              </w:rPr>
            </w:pPr>
            <w:r>
              <w:rPr>
                <w:rFonts w:asciiTheme="minorHAnsi" w:hAnsiTheme="minorHAnsi"/>
                <w:bCs/>
              </w:rPr>
              <w:t>Performance –</w:t>
            </w:r>
            <w:r w:rsidR="00FD2E81">
              <w:rPr>
                <w:rFonts w:asciiTheme="minorHAnsi" w:hAnsiTheme="minorHAnsi"/>
                <w:bCs/>
              </w:rPr>
              <w:t xml:space="preserve"> </w:t>
            </w:r>
            <w:r w:rsidR="00943254">
              <w:rPr>
                <w:rFonts w:asciiTheme="minorHAnsi" w:hAnsiTheme="minorHAnsi"/>
                <w:bCs/>
              </w:rPr>
              <w:t>2</w:t>
            </w:r>
            <w:r w:rsidR="00135EB3">
              <w:rPr>
                <w:rFonts w:asciiTheme="minorHAnsi" w:hAnsiTheme="minorHAnsi"/>
                <w:bCs/>
              </w:rPr>
              <w:t>0</w:t>
            </w:r>
            <w:r>
              <w:rPr>
                <w:rFonts w:asciiTheme="minorHAnsi" w:hAnsiTheme="minorHAnsi"/>
                <w:bCs/>
              </w:rPr>
              <w:t>%</w:t>
            </w:r>
          </w:p>
          <w:p w:rsidR="00383481" w:rsidP="00E312AE" w:rsidRDefault="00383481" w14:paraId="7AF1BE9A" w14:textId="23304181">
            <w:pPr>
              <w:jc w:val="center"/>
              <w:rPr>
                <w:rFonts w:asciiTheme="minorHAnsi" w:hAnsiTheme="minorHAnsi"/>
                <w:bCs/>
              </w:rPr>
            </w:pPr>
            <w:r>
              <w:rPr>
                <w:rFonts w:asciiTheme="minorHAnsi" w:hAnsiTheme="minorHAnsi"/>
                <w:bCs/>
              </w:rPr>
              <w:t>Environmental</w:t>
            </w:r>
            <w:r w:rsidR="00FD2E81">
              <w:rPr>
                <w:rFonts w:asciiTheme="minorHAnsi" w:hAnsiTheme="minorHAnsi"/>
                <w:bCs/>
              </w:rPr>
              <w:t xml:space="preserve"> </w:t>
            </w:r>
            <w:r>
              <w:rPr>
                <w:rFonts w:asciiTheme="minorHAnsi" w:hAnsiTheme="minorHAnsi"/>
                <w:bCs/>
              </w:rPr>
              <w:t>– 1</w:t>
            </w:r>
            <w:r w:rsidR="00135EB3">
              <w:rPr>
                <w:rFonts w:asciiTheme="minorHAnsi" w:hAnsiTheme="minorHAnsi"/>
                <w:bCs/>
              </w:rPr>
              <w:t>0</w:t>
            </w:r>
            <w:r>
              <w:rPr>
                <w:rFonts w:asciiTheme="minorHAnsi" w:hAnsiTheme="minorHAnsi"/>
                <w:bCs/>
              </w:rPr>
              <w:t>%</w:t>
            </w:r>
          </w:p>
          <w:p w:rsidR="00E312AE" w:rsidP="00D9457D" w:rsidRDefault="00383481" w14:paraId="28E247D3" w14:textId="7AA5271A">
            <w:pPr>
              <w:jc w:val="center"/>
              <w:rPr>
                <w:rFonts w:asciiTheme="minorHAnsi" w:hAnsiTheme="minorHAnsi"/>
                <w:bCs/>
              </w:rPr>
            </w:pPr>
            <w:r>
              <w:rPr>
                <w:rFonts w:asciiTheme="minorHAnsi" w:hAnsiTheme="minorHAnsi"/>
                <w:bCs/>
              </w:rPr>
              <w:t>Stakeholder – 10%</w:t>
            </w:r>
          </w:p>
          <w:p w:rsidR="00D97CDC" w:rsidP="00E312AE" w:rsidRDefault="00D97CDC" w14:paraId="59CE972E" w14:textId="77777777">
            <w:pPr>
              <w:jc w:val="center"/>
              <w:rPr>
                <w:rFonts w:asciiTheme="minorHAnsi" w:hAnsiTheme="minorHAnsi"/>
                <w:b/>
                <w:bCs/>
              </w:rPr>
            </w:pPr>
          </w:p>
          <w:p w:rsidRPr="00962A48" w:rsidR="00383481" w:rsidP="00D97CDC" w:rsidRDefault="00FD2E81" w14:paraId="2459D77B" w14:textId="5D9D4834">
            <w:pPr>
              <w:jc w:val="center"/>
              <w:rPr>
                <w:rFonts w:asciiTheme="minorHAnsi" w:hAnsiTheme="minorHAnsi"/>
                <w:b/>
                <w:bCs/>
              </w:rPr>
            </w:pPr>
            <w:r w:rsidRPr="00E312AE">
              <w:rPr>
                <w:rFonts w:asciiTheme="minorHAnsi" w:hAnsiTheme="minorHAnsi"/>
                <w:b/>
                <w:bCs/>
              </w:rPr>
              <w:t>Total 70%</w:t>
            </w:r>
          </w:p>
        </w:tc>
      </w:tr>
      <w:tr w:rsidRPr="00C84883" w:rsidR="00FB0514" w:rsidTr="007DB6EB" w14:paraId="494D1A83" w14:textId="77777777">
        <w:tc>
          <w:tcPr>
            <w:tcW w:w="6380" w:type="dxa"/>
            <w:gridSpan w:val="2"/>
            <w:tcMar/>
            <w:vAlign w:val="center"/>
          </w:tcPr>
          <w:p w:rsidRPr="00C84883" w:rsidR="00FB0514" w:rsidP="00FB0514" w:rsidRDefault="00FB0514" w14:paraId="5FB348D2" w14:textId="394A7139">
            <w:pPr>
              <w:jc w:val="right"/>
              <w:rPr>
                <w:rFonts w:asciiTheme="minorHAnsi" w:hAnsiTheme="minorHAnsi"/>
                <w:b/>
                <w:bCs/>
                <w:sz w:val="22"/>
                <w:szCs w:val="22"/>
              </w:rPr>
            </w:pPr>
            <w:r>
              <w:rPr>
                <w:rFonts w:asciiTheme="minorHAnsi" w:hAnsiTheme="minorHAnsi"/>
                <w:b/>
                <w:bCs/>
                <w:sz w:val="22"/>
                <w:szCs w:val="22"/>
              </w:rPr>
              <w:t>Total</w:t>
            </w:r>
          </w:p>
        </w:tc>
        <w:tc>
          <w:tcPr>
            <w:tcW w:w="2409" w:type="dxa"/>
            <w:tcMar/>
          </w:tcPr>
          <w:p w:rsidRPr="00C84883" w:rsidR="00FB0514" w:rsidP="00DB1958" w:rsidRDefault="00D97CDC" w14:paraId="7BFD8F8E" w14:textId="48F7B778">
            <w:pPr>
              <w:jc w:val="center"/>
              <w:rPr>
                <w:rFonts w:asciiTheme="minorHAnsi" w:hAnsiTheme="minorHAnsi"/>
                <w:b/>
                <w:bCs/>
                <w:sz w:val="22"/>
                <w:szCs w:val="22"/>
              </w:rPr>
            </w:pPr>
            <w:r>
              <w:rPr>
                <w:rFonts w:asciiTheme="minorHAnsi" w:hAnsiTheme="minorHAnsi"/>
                <w:b/>
                <w:bCs/>
                <w:sz w:val="22"/>
                <w:szCs w:val="22"/>
              </w:rPr>
              <w:t>200 points</w:t>
            </w:r>
          </w:p>
        </w:tc>
        <w:tc>
          <w:tcPr>
            <w:tcW w:w="1979" w:type="dxa"/>
            <w:shd w:val="clear" w:color="auto" w:fill="auto"/>
            <w:tcMar/>
            <w:vAlign w:val="center"/>
          </w:tcPr>
          <w:p w:rsidRPr="00BF2E97" w:rsidR="00FB0514" w:rsidP="00DB1958" w:rsidRDefault="00063719" w14:paraId="497930AC" w14:textId="3EE0BFCC">
            <w:pPr>
              <w:jc w:val="center"/>
              <w:rPr>
                <w:rFonts w:asciiTheme="minorHAnsi" w:hAnsiTheme="minorHAnsi"/>
                <w:b/>
                <w:bCs/>
                <w:sz w:val="22"/>
                <w:szCs w:val="22"/>
                <w:highlight w:val="yellow"/>
              </w:rPr>
            </w:pPr>
            <w:r w:rsidRPr="00063719">
              <w:rPr>
                <w:rFonts w:asciiTheme="minorHAnsi" w:hAnsiTheme="minorHAnsi"/>
                <w:b/>
                <w:bCs/>
              </w:rPr>
              <w:t>100%</w:t>
            </w:r>
          </w:p>
        </w:tc>
      </w:tr>
    </w:tbl>
    <w:p w:rsidR="00B807D8" w:rsidP="00B807D8" w:rsidRDefault="00B807D8" w14:paraId="0CFD1E2E" w14:textId="77777777">
      <w:pPr>
        <w:tabs>
          <w:tab w:val="left" w:pos="4860"/>
        </w:tabs>
        <w:jc w:val="both"/>
        <w:rPr>
          <w:rFonts w:cs="Tahoma"/>
          <w:b/>
        </w:rPr>
      </w:pPr>
    </w:p>
    <w:p w:rsidR="00D9457D" w:rsidP="00B807D8" w:rsidRDefault="00D9457D" w14:paraId="2A85EA0F" w14:textId="77777777">
      <w:pPr>
        <w:tabs>
          <w:tab w:val="left" w:pos="4860"/>
        </w:tabs>
        <w:jc w:val="both"/>
        <w:rPr>
          <w:bCs/>
        </w:rPr>
      </w:pPr>
    </w:p>
    <w:p w:rsidR="00BF2E97" w:rsidP="00B807D8" w:rsidRDefault="00BF2E97" w14:paraId="7A58FFC4" w14:textId="74D856C6">
      <w:pPr>
        <w:tabs>
          <w:tab w:val="left" w:pos="4860"/>
        </w:tabs>
        <w:jc w:val="both"/>
        <w:rPr>
          <w:rFonts w:cs="Tahoma"/>
          <w:b/>
        </w:rPr>
      </w:pPr>
      <w:r>
        <w:rPr>
          <w:rFonts w:cs="Tahoma"/>
          <w:b/>
        </w:rPr>
        <w:lastRenderedPageBreak/>
        <w:t>Scoring Methodology</w:t>
      </w:r>
    </w:p>
    <w:p w:rsidR="00B807D8" w:rsidP="00BF2E97" w:rsidRDefault="00B807D8" w14:paraId="506556FC" w14:textId="77777777">
      <w:pPr>
        <w:tabs>
          <w:tab w:val="left" w:pos="4860"/>
        </w:tabs>
      </w:pPr>
    </w:p>
    <w:tbl>
      <w:tblPr>
        <w:tblW w:w="10774"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1"/>
        <w:gridCol w:w="9003"/>
      </w:tblGrid>
      <w:tr w:rsidR="00BF2E97" w:rsidTr="00DB1958" w14:paraId="17D502C2" w14:textId="77777777">
        <w:trPr>
          <w:cantSplit/>
          <w:trHeight w:val="507"/>
        </w:trPr>
        <w:tc>
          <w:tcPr>
            <w:tcW w:w="1771" w:type="dxa"/>
            <w:tcBorders>
              <w:top w:val="single" w:color="auto" w:sz="4" w:space="0"/>
              <w:left w:val="single" w:color="auto" w:sz="4" w:space="0"/>
              <w:bottom w:val="single" w:color="auto" w:sz="4" w:space="0"/>
              <w:right w:val="single" w:color="auto" w:sz="4" w:space="0"/>
            </w:tcBorders>
            <w:shd w:val="clear" w:color="auto" w:fill="44546A"/>
            <w:vAlign w:val="center"/>
            <w:hideMark/>
          </w:tcPr>
          <w:p w:rsidR="00BF2E97" w:rsidP="00DB1958" w:rsidRDefault="00BF2E97" w14:paraId="4358FF55" w14:textId="77777777">
            <w:pPr>
              <w:tabs>
                <w:tab w:val="left" w:pos="1440"/>
              </w:tabs>
              <w:spacing w:line="360" w:lineRule="auto"/>
              <w:jc w:val="both"/>
              <w:rPr>
                <w:b/>
                <w:color w:val="FFFFFF" w:themeColor="background1"/>
                <w:sz w:val="20"/>
                <w:lang w:eastAsia="en-GB"/>
              </w:rPr>
            </w:pPr>
            <w:r>
              <w:rPr>
                <w:b/>
                <w:color w:val="FFFFFF" w:themeColor="background1"/>
                <w:sz w:val="20"/>
                <w:lang w:eastAsia="en-GB"/>
              </w:rPr>
              <w:t>Points</w:t>
            </w:r>
          </w:p>
        </w:tc>
        <w:tc>
          <w:tcPr>
            <w:tcW w:w="9003" w:type="dxa"/>
            <w:tcBorders>
              <w:top w:val="single" w:color="auto" w:sz="4" w:space="0"/>
              <w:left w:val="single" w:color="auto" w:sz="4" w:space="0"/>
              <w:bottom w:val="single" w:color="auto" w:sz="4" w:space="0"/>
              <w:right w:val="single" w:color="auto" w:sz="4" w:space="0"/>
            </w:tcBorders>
            <w:shd w:val="clear" w:color="auto" w:fill="44546A"/>
            <w:vAlign w:val="center"/>
            <w:hideMark/>
          </w:tcPr>
          <w:p w:rsidR="00BF2E97" w:rsidP="00DB1958" w:rsidRDefault="00BF2E97" w14:paraId="484846E8" w14:textId="77777777">
            <w:pPr>
              <w:tabs>
                <w:tab w:val="left" w:pos="1440"/>
              </w:tabs>
              <w:spacing w:line="360" w:lineRule="auto"/>
              <w:jc w:val="both"/>
              <w:rPr>
                <w:b/>
                <w:color w:val="FFFFFF" w:themeColor="background1"/>
                <w:sz w:val="20"/>
                <w:lang w:eastAsia="en-GB"/>
              </w:rPr>
            </w:pPr>
            <w:r>
              <w:rPr>
                <w:b/>
                <w:color w:val="FFFFFF" w:themeColor="background1"/>
                <w:sz w:val="20"/>
                <w:lang w:eastAsia="en-GB"/>
              </w:rPr>
              <w:t>Interpretation</w:t>
            </w:r>
          </w:p>
        </w:tc>
      </w:tr>
      <w:tr w:rsidR="00BF2E97" w:rsidTr="00DB1958" w14:paraId="141886DD" w14:textId="77777777">
        <w:trPr>
          <w:cantSplit/>
          <w:trHeight w:val="1425"/>
        </w:trPr>
        <w:tc>
          <w:tcPr>
            <w:tcW w:w="1771" w:type="dxa"/>
            <w:tcBorders>
              <w:top w:val="single" w:color="auto" w:sz="4" w:space="0"/>
              <w:left w:val="single" w:color="auto" w:sz="4" w:space="0"/>
              <w:bottom w:val="single" w:color="auto" w:sz="4" w:space="0"/>
              <w:right w:val="single" w:color="auto" w:sz="4" w:space="0"/>
            </w:tcBorders>
            <w:vAlign w:val="center"/>
            <w:hideMark/>
          </w:tcPr>
          <w:p w:rsidR="00BF2E97" w:rsidP="00DB1958" w:rsidRDefault="00BF2E97" w14:paraId="61D78319" w14:textId="77777777">
            <w:pPr>
              <w:tabs>
                <w:tab w:val="left" w:pos="1440"/>
              </w:tabs>
              <w:spacing w:after="240" w:line="360" w:lineRule="auto"/>
              <w:jc w:val="both"/>
              <w:rPr>
                <w:sz w:val="20"/>
                <w:lang w:eastAsia="en-GB"/>
              </w:rPr>
            </w:pPr>
            <w:r>
              <w:rPr>
                <w:b/>
                <w:sz w:val="20"/>
                <w:lang w:eastAsia="en-GB"/>
              </w:rPr>
              <w:t>10</w:t>
            </w:r>
          </w:p>
        </w:tc>
        <w:tc>
          <w:tcPr>
            <w:tcW w:w="9003" w:type="dxa"/>
            <w:tcBorders>
              <w:top w:val="single" w:color="auto" w:sz="4" w:space="0"/>
              <w:left w:val="single" w:color="auto" w:sz="4" w:space="0"/>
              <w:bottom w:val="single" w:color="auto" w:sz="4" w:space="0"/>
              <w:right w:val="single" w:color="auto" w:sz="4" w:space="0"/>
            </w:tcBorders>
            <w:vAlign w:val="center"/>
            <w:hideMark/>
          </w:tcPr>
          <w:p w:rsidR="00BF2E97" w:rsidP="00DB1958" w:rsidRDefault="00BF2E97" w14:paraId="23CD3FE2" w14:textId="77777777">
            <w:pPr>
              <w:tabs>
                <w:tab w:val="left" w:pos="1440"/>
              </w:tabs>
              <w:spacing w:line="288" w:lineRule="auto"/>
              <w:jc w:val="both"/>
              <w:rPr>
                <w:sz w:val="20"/>
                <w:lang w:eastAsia="en-GB"/>
              </w:rPr>
            </w:pPr>
            <w:r w:rsidRPr="00CE1A0B">
              <w:rPr>
                <w:b/>
                <w:sz w:val="20"/>
                <w:lang w:eastAsia="en-GB"/>
              </w:rPr>
              <w:t>Excellent</w:t>
            </w:r>
            <w:r w:rsidRPr="00CE1A0B">
              <w:rPr>
                <w:sz w:val="20"/>
                <w:lang w:eastAsia="en-GB"/>
              </w:rPr>
              <w:t xml:space="preserve"> – Overall the response demonstrates that the bidder meets all areas of the requirement and provides </w:t>
            </w:r>
            <w:proofErr w:type="gramStart"/>
            <w:r w:rsidRPr="00CE1A0B">
              <w:rPr>
                <w:sz w:val="20"/>
                <w:lang w:eastAsia="en-GB"/>
              </w:rPr>
              <w:t>all of</w:t>
            </w:r>
            <w:proofErr w:type="gramEnd"/>
            <w:r w:rsidRPr="00CE1A0B">
              <w:rPr>
                <w:sz w:val="20"/>
                <w:lang w:eastAsia="en-GB"/>
              </w:rPr>
              <w:t xml:space="preserve"> the areas evidence requested in the level of detail requested.  This, therefore, is a detailed excellent response that meets all aspects of the requirement leaving no ambiguity as to whether the bidder can meet the requirement. </w:t>
            </w:r>
          </w:p>
        </w:tc>
      </w:tr>
      <w:tr w:rsidR="00BF2E97" w:rsidTr="00DB1958" w14:paraId="007393F8" w14:textId="77777777">
        <w:trPr>
          <w:cantSplit/>
          <w:trHeight w:val="1656"/>
        </w:trPr>
        <w:tc>
          <w:tcPr>
            <w:tcW w:w="1771" w:type="dxa"/>
            <w:tcBorders>
              <w:top w:val="single" w:color="auto" w:sz="4" w:space="0"/>
              <w:left w:val="single" w:color="auto" w:sz="4" w:space="0"/>
              <w:bottom w:val="single" w:color="auto" w:sz="4" w:space="0"/>
              <w:right w:val="single" w:color="auto" w:sz="4" w:space="0"/>
            </w:tcBorders>
            <w:vAlign w:val="center"/>
            <w:hideMark/>
          </w:tcPr>
          <w:p w:rsidR="00BF2E97" w:rsidP="00DB1958" w:rsidRDefault="00BF2E97" w14:paraId="0BFA83E3" w14:textId="77777777">
            <w:pPr>
              <w:tabs>
                <w:tab w:val="left" w:pos="1440"/>
              </w:tabs>
              <w:spacing w:after="240" w:line="360" w:lineRule="auto"/>
              <w:jc w:val="both"/>
              <w:rPr>
                <w:b/>
                <w:sz w:val="20"/>
                <w:lang w:eastAsia="en-GB"/>
              </w:rPr>
            </w:pPr>
            <w:r>
              <w:rPr>
                <w:b/>
                <w:sz w:val="20"/>
                <w:lang w:eastAsia="en-GB"/>
              </w:rPr>
              <w:t>8</w:t>
            </w:r>
          </w:p>
        </w:tc>
        <w:tc>
          <w:tcPr>
            <w:tcW w:w="9003" w:type="dxa"/>
            <w:tcBorders>
              <w:top w:val="single" w:color="auto" w:sz="4" w:space="0"/>
              <w:left w:val="single" w:color="auto" w:sz="4" w:space="0"/>
              <w:bottom w:val="single" w:color="auto" w:sz="4" w:space="0"/>
              <w:right w:val="single" w:color="auto" w:sz="4" w:space="0"/>
            </w:tcBorders>
            <w:vAlign w:val="center"/>
            <w:hideMark/>
          </w:tcPr>
          <w:p w:rsidRPr="00CE1A0B" w:rsidR="00BF2E97" w:rsidP="00DB1958" w:rsidRDefault="00BF2E97" w14:paraId="24A24667" w14:textId="77777777">
            <w:pPr>
              <w:tabs>
                <w:tab w:val="left" w:pos="1440"/>
              </w:tabs>
              <w:spacing w:line="288" w:lineRule="auto"/>
              <w:jc w:val="both"/>
              <w:rPr>
                <w:sz w:val="20"/>
                <w:lang w:eastAsia="en-GB"/>
              </w:rPr>
            </w:pPr>
            <w:r w:rsidRPr="00CE1A0B">
              <w:rPr>
                <w:b/>
                <w:sz w:val="20"/>
                <w:lang w:eastAsia="en-GB"/>
              </w:rPr>
              <w:t>Good</w:t>
            </w:r>
            <w:r w:rsidRPr="00CE1A0B">
              <w:rPr>
                <w:sz w:val="20"/>
                <w:lang w:eastAsia="en-GB"/>
              </w:rPr>
              <w:t xml:space="preserve"> - Overall the response demonstrates that the bidder meets all areas of the requirement and provides </w:t>
            </w:r>
            <w:proofErr w:type="gramStart"/>
            <w:r w:rsidRPr="00CE1A0B">
              <w:rPr>
                <w:sz w:val="20"/>
                <w:lang w:eastAsia="en-GB"/>
              </w:rPr>
              <w:t>all of</w:t>
            </w:r>
            <w:proofErr w:type="gramEnd"/>
            <w:r w:rsidRPr="00CE1A0B">
              <w:rPr>
                <w:sz w:val="20"/>
                <w:lang w:eastAsia="en-GB"/>
              </w:rPr>
              <w:t xml:space="preserve">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BF2E97" w:rsidTr="00DB1958" w14:paraId="5199DBED" w14:textId="77777777">
        <w:trPr>
          <w:cantSplit/>
          <w:trHeight w:val="1255"/>
        </w:trPr>
        <w:tc>
          <w:tcPr>
            <w:tcW w:w="1771" w:type="dxa"/>
            <w:tcBorders>
              <w:top w:val="single" w:color="auto" w:sz="4" w:space="0"/>
              <w:left w:val="single" w:color="auto" w:sz="4" w:space="0"/>
              <w:bottom w:val="single" w:color="auto" w:sz="4" w:space="0"/>
              <w:right w:val="single" w:color="auto" w:sz="4" w:space="0"/>
            </w:tcBorders>
            <w:vAlign w:val="center"/>
            <w:hideMark/>
          </w:tcPr>
          <w:p w:rsidR="00BF2E97" w:rsidP="00DB1958" w:rsidRDefault="00BF2E97" w14:paraId="6D004D8F" w14:textId="77777777">
            <w:pPr>
              <w:tabs>
                <w:tab w:val="left" w:pos="1440"/>
              </w:tabs>
              <w:spacing w:after="240" w:line="360" w:lineRule="auto"/>
              <w:jc w:val="both"/>
              <w:rPr>
                <w:sz w:val="20"/>
                <w:lang w:eastAsia="en-GB"/>
              </w:rPr>
            </w:pPr>
            <w:r>
              <w:rPr>
                <w:b/>
                <w:sz w:val="20"/>
                <w:lang w:eastAsia="en-GB"/>
              </w:rPr>
              <w:t>5</w:t>
            </w:r>
          </w:p>
        </w:tc>
        <w:tc>
          <w:tcPr>
            <w:tcW w:w="9003" w:type="dxa"/>
            <w:tcBorders>
              <w:top w:val="single" w:color="auto" w:sz="4" w:space="0"/>
              <w:left w:val="single" w:color="auto" w:sz="4" w:space="0"/>
              <w:bottom w:val="single" w:color="auto" w:sz="4" w:space="0"/>
              <w:right w:val="single" w:color="auto" w:sz="4" w:space="0"/>
            </w:tcBorders>
            <w:vAlign w:val="center"/>
            <w:hideMark/>
          </w:tcPr>
          <w:p w:rsidRPr="00CE1A0B" w:rsidR="00BF2E97" w:rsidP="00DB1958" w:rsidRDefault="00BF2E97" w14:paraId="3FAC5731" w14:textId="77777777">
            <w:pPr>
              <w:tabs>
                <w:tab w:val="left" w:pos="1440"/>
              </w:tabs>
              <w:spacing w:line="288" w:lineRule="auto"/>
              <w:jc w:val="both"/>
              <w:rPr>
                <w:sz w:val="20"/>
                <w:lang w:eastAsia="en-GB"/>
              </w:rPr>
            </w:pPr>
            <w:r w:rsidRPr="00CE1A0B">
              <w:rPr>
                <w:b/>
                <w:sz w:val="20"/>
                <w:lang w:eastAsia="en-GB"/>
              </w:rPr>
              <w:t>Adequate</w:t>
            </w:r>
            <w:r w:rsidRPr="00CE1A0B">
              <w:rPr>
                <w:sz w:val="20"/>
                <w:lang w:eastAsia="en-GB"/>
              </w:rPr>
              <w:t xml:space="preserve"> - Overall the response demonstrates that the bidder meets all areas of the requirement, but not </w:t>
            </w:r>
            <w:proofErr w:type="gramStart"/>
            <w:r w:rsidRPr="00CE1A0B">
              <w:rPr>
                <w:sz w:val="20"/>
                <w:lang w:eastAsia="en-GB"/>
              </w:rPr>
              <w:t>all of</w:t>
            </w:r>
            <w:proofErr w:type="gramEnd"/>
            <w:r w:rsidRPr="00CE1A0B">
              <w:rPr>
                <w:sz w:val="20"/>
                <w:lang w:eastAsia="en-GB"/>
              </w:rPr>
              <w:t xml:space="preserve"> the areas of evidence requested have been provided. This, therefore, is an adequate response, but with some limited ambiguity as to whether the bidder can meet the requirement due to the bidder’s failure to provide </w:t>
            </w:r>
            <w:proofErr w:type="gramStart"/>
            <w:r w:rsidRPr="00CE1A0B">
              <w:rPr>
                <w:sz w:val="20"/>
                <w:lang w:eastAsia="en-GB"/>
              </w:rPr>
              <w:t>all of</w:t>
            </w:r>
            <w:proofErr w:type="gramEnd"/>
            <w:r w:rsidRPr="00CE1A0B">
              <w:rPr>
                <w:sz w:val="20"/>
                <w:lang w:eastAsia="en-GB"/>
              </w:rPr>
              <w:t xml:space="preserve"> the evidence requested.</w:t>
            </w:r>
          </w:p>
        </w:tc>
      </w:tr>
      <w:tr w:rsidR="00BF2E97" w:rsidTr="00DB1958" w14:paraId="120A442C" w14:textId="77777777">
        <w:trPr>
          <w:cantSplit/>
          <w:trHeight w:val="989"/>
        </w:trPr>
        <w:tc>
          <w:tcPr>
            <w:tcW w:w="1771" w:type="dxa"/>
            <w:tcBorders>
              <w:top w:val="single" w:color="auto" w:sz="4" w:space="0"/>
              <w:left w:val="single" w:color="auto" w:sz="4" w:space="0"/>
              <w:bottom w:val="single" w:color="auto" w:sz="4" w:space="0"/>
              <w:right w:val="single" w:color="auto" w:sz="4" w:space="0"/>
            </w:tcBorders>
            <w:vAlign w:val="center"/>
            <w:hideMark/>
          </w:tcPr>
          <w:p w:rsidR="00BF2E97" w:rsidP="00DB1958" w:rsidRDefault="00BF2E97" w14:paraId="1696E6DF" w14:textId="77777777">
            <w:pPr>
              <w:tabs>
                <w:tab w:val="left" w:pos="1440"/>
              </w:tabs>
              <w:spacing w:after="240" w:line="360" w:lineRule="auto"/>
              <w:jc w:val="both"/>
              <w:rPr>
                <w:sz w:val="20"/>
                <w:lang w:eastAsia="en-GB"/>
              </w:rPr>
            </w:pPr>
            <w:r>
              <w:rPr>
                <w:b/>
                <w:sz w:val="20"/>
                <w:lang w:eastAsia="en-GB"/>
              </w:rPr>
              <w:t>2</w:t>
            </w:r>
          </w:p>
        </w:tc>
        <w:tc>
          <w:tcPr>
            <w:tcW w:w="9003" w:type="dxa"/>
            <w:tcBorders>
              <w:top w:val="single" w:color="auto" w:sz="4" w:space="0"/>
              <w:left w:val="single" w:color="auto" w:sz="4" w:space="0"/>
              <w:bottom w:val="single" w:color="auto" w:sz="4" w:space="0"/>
              <w:right w:val="single" w:color="auto" w:sz="4" w:space="0"/>
            </w:tcBorders>
            <w:vAlign w:val="center"/>
            <w:hideMark/>
          </w:tcPr>
          <w:p w:rsidRPr="00CE1A0B" w:rsidR="00BF2E97" w:rsidP="00DB1958" w:rsidRDefault="00BF2E97" w14:paraId="3623AF56" w14:textId="77777777">
            <w:pPr>
              <w:tabs>
                <w:tab w:val="left" w:pos="1440"/>
              </w:tabs>
              <w:spacing w:line="288" w:lineRule="auto"/>
              <w:jc w:val="both"/>
              <w:rPr>
                <w:sz w:val="20"/>
                <w:lang w:eastAsia="en-GB"/>
              </w:rPr>
            </w:pPr>
            <w:r w:rsidRPr="00CE1A0B">
              <w:rPr>
                <w:b/>
                <w:sz w:val="20"/>
                <w:lang w:eastAsia="en-GB"/>
              </w:rPr>
              <w:t>Poor</w:t>
            </w:r>
            <w:r w:rsidRPr="00CE1A0B">
              <w:rPr>
                <w:sz w:val="20"/>
                <w:lang w:eastAsia="en-GB"/>
              </w:rPr>
              <w:t xml:space="preserve"> – 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BF2E97" w:rsidTr="00DB1958" w14:paraId="2FDA63C6" w14:textId="77777777">
        <w:trPr>
          <w:cantSplit/>
          <w:trHeight w:val="706"/>
        </w:trPr>
        <w:tc>
          <w:tcPr>
            <w:tcW w:w="1771" w:type="dxa"/>
            <w:tcBorders>
              <w:top w:val="single" w:color="auto" w:sz="4" w:space="0"/>
              <w:left w:val="single" w:color="auto" w:sz="4" w:space="0"/>
              <w:bottom w:val="single" w:color="auto" w:sz="4" w:space="0"/>
              <w:right w:val="single" w:color="auto" w:sz="4" w:space="0"/>
            </w:tcBorders>
            <w:vAlign w:val="center"/>
            <w:hideMark/>
          </w:tcPr>
          <w:p w:rsidR="00BF2E97" w:rsidP="00DB1958" w:rsidRDefault="00BF2E97" w14:paraId="2EE5FBDD" w14:textId="77777777">
            <w:pPr>
              <w:tabs>
                <w:tab w:val="left" w:pos="1440"/>
              </w:tabs>
              <w:spacing w:after="240" w:line="360" w:lineRule="auto"/>
              <w:jc w:val="both"/>
              <w:rPr>
                <w:sz w:val="20"/>
                <w:lang w:eastAsia="en-GB"/>
              </w:rPr>
            </w:pPr>
            <w:r>
              <w:rPr>
                <w:b/>
                <w:sz w:val="20"/>
                <w:lang w:eastAsia="en-GB"/>
              </w:rPr>
              <w:t xml:space="preserve">0 </w:t>
            </w:r>
          </w:p>
        </w:tc>
        <w:tc>
          <w:tcPr>
            <w:tcW w:w="9003" w:type="dxa"/>
            <w:tcBorders>
              <w:top w:val="single" w:color="auto" w:sz="4" w:space="0"/>
              <w:left w:val="single" w:color="auto" w:sz="4" w:space="0"/>
              <w:bottom w:val="single" w:color="auto" w:sz="4" w:space="0"/>
              <w:right w:val="single" w:color="auto" w:sz="4" w:space="0"/>
            </w:tcBorders>
            <w:vAlign w:val="center"/>
            <w:hideMark/>
          </w:tcPr>
          <w:p w:rsidRPr="00CE1A0B" w:rsidR="00BF2E97" w:rsidP="00DB1958" w:rsidRDefault="00BF2E97" w14:paraId="47FC29BF" w14:textId="77777777">
            <w:pPr>
              <w:tabs>
                <w:tab w:val="left" w:pos="1440"/>
              </w:tabs>
              <w:spacing w:line="288" w:lineRule="auto"/>
              <w:jc w:val="both"/>
              <w:rPr>
                <w:sz w:val="20"/>
                <w:lang w:eastAsia="en-GB"/>
              </w:rPr>
            </w:pPr>
            <w:r w:rsidRPr="00CE1A0B">
              <w:rPr>
                <w:b/>
                <w:sz w:val="20"/>
                <w:lang w:eastAsia="en-GB"/>
              </w:rPr>
              <w:t>Unacceptable</w:t>
            </w:r>
            <w:r w:rsidRPr="00CE1A0B">
              <w:rPr>
                <w:sz w:val="20"/>
                <w:lang w:eastAsia="en-GB"/>
              </w:rPr>
              <w:t xml:space="preserve"> - The response is non-compliant with the requirements of the ITT and/or no response has been provided. </w:t>
            </w:r>
          </w:p>
        </w:tc>
      </w:tr>
    </w:tbl>
    <w:p w:rsidR="00BF2E97" w:rsidP="00BF2E97" w:rsidRDefault="00BF2E97" w14:paraId="68325F2B" w14:textId="77777777"/>
    <w:p w:rsidR="00BF2E97" w:rsidP="00BF2E97" w:rsidRDefault="00BF2E97" w14:paraId="6F79F652" w14:textId="77777777"/>
    <w:p w:rsidR="00BF2E97" w:rsidP="00BF2E97" w:rsidRDefault="00BF2E97" w14:paraId="34EB91BD" w14:textId="77777777"/>
    <w:p w:rsidR="00BF2E97" w:rsidP="00BF2E97" w:rsidRDefault="00BF2E97" w14:paraId="4C42D381" w14:textId="77777777"/>
    <w:sectPr w:rsidR="00BF2E97" w:rsidSect="009F3E53">
      <w:footerReference w:type="default" r:id="rId10"/>
      <w:headerReference w:type="first" r:id="rId11"/>
      <w:pgSz w:w="11900" w:h="16840" w:orient="portrait"/>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421" w:rsidP="009C29B1" w:rsidRDefault="00EE5421" w14:paraId="2AE68E19" w14:textId="77777777">
      <w:r>
        <w:separator/>
      </w:r>
    </w:p>
  </w:endnote>
  <w:endnote w:type="continuationSeparator" w:id="0">
    <w:p w:rsidR="00EE5421" w:rsidP="009C29B1" w:rsidRDefault="00EE5421" w14:paraId="3DEAED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F3E53" w:rsidRDefault="009F3E53" w14:paraId="2680F0A3" w14:textId="1DB7122C">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r w:rsidR="7785FA31">
      <w:rPr/>
      <w:t/>
    </w:r>
    <w:r w:rsidR="007DB6EB">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421" w:rsidP="009C29B1" w:rsidRDefault="00EE5421" w14:paraId="4C7C2F8D" w14:textId="77777777">
      <w:r>
        <w:separator/>
      </w:r>
    </w:p>
  </w:footnote>
  <w:footnote w:type="continuationSeparator" w:id="0">
    <w:p w:rsidR="00EE5421" w:rsidP="009C29B1" w:rsidRDefault="00EE5421" w14:paraId="506CDB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F3E53" w:rsidRDefault="009F3E53" w14:paraId="2FF01F94" w14:textId="41CFDFE4">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7785FA31">
      <w:rPr/>
      <w:t/>
    </w:r>
    <w:r w:rsidR="007DB6E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518"/>
    <w:multiLevelType w:val="multilevel"/>
    <w:tmpl w:val="E15ABA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0CF0B17"/>
    <w:multiLevelType w:val="hybridMultilevel"/>
    <w:tmpl w:val="B99C4B78"/>
    <w:lvl w:ilvl="0" w:tplc="8DE27E7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B20272"/>
    <w:multiLevelType w:val="multilevel"/>
    <w:tmpl w:val="EE6069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2A23095"/>
    <w:multiLevelType w:val="hybridMultilevel"/>
    <w:tmpl w:val="845E8B4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68B0850"/>
    <w:multiLevelType w:val="multilevel"/>
    <w:tmpl w:val="4DD08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A54328A"/>
    <w:multiLevelType w:val="hybridMultilevel"/>
    <w:tmpl w:val="245A072E"/>
    <w:lvl w:ilvl="0" w:tplc="15B42322">
      <w:start w:val="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571DE"/>
    <w:rsid w:val="00063719"/>
    <w:rsid w:val="000721D0"/>
    <w:rsid w:val="000E6647"/>
    <w:rsid w:val="000F2DCD"/>
    <w:rsid w:val="00101BDC"/>
    <w:rsid w:val="00104CB2"/>
    <w:rsid w:val="00135EB3"/>
    <w:rsid w:val="0014274B"/>
    <w:rsid w:val="00170243"/>
    <w:rsid w:val="00187D79"/>
    <w:rsid w:val="002053BC"/>
    <w:rsid w:val="002B0733"/>
    <w:rsid w:val="002B12F2"/>
    <w:rsid w:val="0035448E"/>
    <w:rsid w:val="00377F22"/>
    <w:rsid w:val="00383481"/>
    <w:rsid w:val="003B5738"/>
    <w:rsid w:val="003D2B82"/>
    <w:rsid w:val="004679A2"/>
    <w:rsid w:val="00494C0A"/>
    <w:rsid w:val="004A5EE8"/>
    <w:rsid w:val="0054514F"/>
    <w:rsid w:val="00567792"/>
    <w:rsid w:val="005D481D"/>
    <w:rsid w:val="006677B8"/>
    <w:rsid w:val="007448D6"/>
    <w:rsid w:val="00755819"/>
    <w:rsid w:val="00762FD8"/>
    <w:rsid w:val="0078563F"/>
    <w:rsid w:val="007DB6EB"/>
    <w:rsid w:val="007E2B65"/>
    <w:rsid w:val="00802887"/>
    <w:rsid w:val="00894663"/>
    <w:rsid w:val="008A788C"/>
    <w:rsid w:val="00935666"/>
    <w:rsid w:val="00943254"/>
    <w:rsid w:val="00956E3B"/>
    <w:rsid w:val="009572F1"/>
    <w:rsid w:val="00962A48"/>
    <w:rsid w:val="009B56CF"/>
    <w:rsid w:val="009C29B1"/>
    <w:rsid w:val="009F1B93"/>
    <w:rsid w:val="009F3E53"/>
    <w:rsid w:val="009F4430"/>
    <w:rsid w:val="00A2438B"/>
    <w:rsid w:val="00A455BA"/>
    <w:rsid w:val="00A47F9E"/>
    <w:rsid w:val="00A63855"/>
    <w:rsid w:val="00A677F6"/>
    <w:rsid w:val="00AD261C"/>
    <w:rsid w:val="00AE1B39"/>
    <w:rsid w:val="00B05B0A"/>
    <w:rsid w:val="00B2330C"/>
    <w:rsid w:val="00B42FC1"/>
    <w:rsid w:val="00B807D8"/>
    <w:rsid w:val="00BA4337"/>
    <w:rsid w:val="00BD6A76"/>
    <w:rsid w:val="00BE51AA"/>
    <w:rsid w:val="00BE7E5A"/>
    <w:rsid w:val="00BF2D86"/>
    <w:rsid w:val="00BF2E97"/>
    <w:rsid w:val="00C47098"/>
    <w:rsid w:val="00CB7C33"/>
    <w:rsid w:val="00CD7E11"/>
    <w:rsid w:val="00D41A6B"/>
    <w:rsid w:val="00D66127"/>
    <w:rsid w:val="00D70A17"/>
    <w:rsid w:val="00D9457D"/>
    <w:rsid w:val="00D97CDC"/>
    <w:rsid w:val="00DD51AA"/>
    <w:rsid w:val="00DE05C0"/>
    <w:rsid w:val="00DE7F15"/>
    <w:rsid w:val="00E1745F"/>
    <w:rsid w:val="00E21D82"/>
    <w:rsid w:val="00E312AE"/>
    <w:rsid w:val="00E338A9"/>
    <w:rsid w:val="00E65F74"/>
    <w:rsid w:val="00E66437"/>
    <w:rsid w:val="00E913CD"/>
    <w:rsid w:val="00ED3FBE"/>
    <w:rsid w:val="00EE5421"/>
    <w:rsid w:val="00F67F50"/>
    <w:rsid w:val="00F75E8D"/>
    <w:rsid w:val="00FB0514"/>
    <w:rsid w:val="00FD2E81"/>
    <w:rsid w:val="0AF5884A"/>
    <w:rsid w:val="0FABD0E4"/>
    <w:rsid w:val="12244AA4"/>
    <w:rsid w:val="2FAFC608"/>
    <w:rsid w:val="3B110B36"/>
    <w:rsid w:val="3D49B1CF"/>
    <w:rsid w:val="4584CFA9"/>
    <w:rsid w:val="4FEC3945"/>
    <w:rsid w:val="5A54FAAA"/>
    <w:rsid w:val="7271720E"/>
    <w:rsid w:val="7785F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C29B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styleId="HeaderChar" w:customStyle="1">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styleId="FooterChar" w:customStyle="1">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styleId="NoSpacingChar" w:customStyle="1">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BF2E97"/>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BF2E97"/>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BF2E97"/>
  </w:style>
  <w:style w:type="character" w:styleId="eop" w:customStyle="1">
    <w:name w:val="eop"/>
    <w:basedOn w:val="DefaultParagraphFont"/>
    <w:rsid w:val="00BF2E97"/>
  </w:style>
  <w:style w:type="paragraph" w:styleId="ListParagraph">
    <w:name w:val="List Paragraph"/>
    <w:basedOn w:val="Normal"/>
    <w:uiPriority w:val="34"/>
    <w:qFormat/>
    <w:rsid w:val="00BF2E97"/>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BF2E97"/>
    <w:rPr>
      <w:sz w:val="16"/>
      <w:szCs w:val="16"/>
    </w:rPr>
  </w:style>
  <w:style w:type="paragraph" w:styleId="CommentText">
    <w:name w:val="annotation text"/>
    <w:basedOn w:val="Normal"/>
    <w:link w:val="CommentTextChar"/>
    <w:uiPriority w:val="99"/>
    <w:semiHidden/>
    <w:unhideWhenUsed/>
    <w:rsid w:val="00BF2E97"/>
    <w:rPr>
      <w:sz w:val="20"/>
      <w:szCs w:val="20"/>
    </w:rPr>
  </w:style>
  <w:style w:type="character" w:styleId="CommentTextChar" w:customStyle="1">
    <w:name w:val="Comment Text Char"/>
    <w:basedOn w:val="DefaultParagraphFont"/>
    <w:link w:val="CommentText"/>
    <w:uiPriority w:val="99"/>
    <w:semiHidden/>
    <w:rsid w:val="00BF2E97"/>
    <w:rPr>
      <w:sz w:val="20"/>
      <w:szCs w:val="20"/>
    </w:rPr>
  </w:style>
  <w:style w:type="paragraph" w:styleId="CommentSubject">
    <w:name w:val="annotation subject"/>
    <w:basedOn w:val="CommentText"/>
    <w:next w:val="CommentText"/>
    <w:link w:val="CommentSubjectChar"/>
    <w:uiPriority w:val="99"/>
    <w:semiHidden/>
    <w:unhideWhenUsed/>
    <w:rsid w:val="00BF2E97"/>
    <w:rPr>
      <w:b/>
      <w:bCs/>
    </w:rPr>
  </w:style>
  <w:style w:type="character" w:styleId="CommentSubjectChar" w:customStyle="1">
    <w:name w:val="Comment Subject Char"/>
    <w:basedOn w:val="CommentTextChar"/>
    <w:link w:val="CommentSubject"/>
    <w:uiPriority w:val="99"/>
    <w:semiHidden/>
    <w:rsid w:val="00BF2E97"/>
    <w:rPr>
      <w:b/>
      <w:bCs/>
      <w:sz w:val="20"/>
      <w:szCs w:val="20"/>
    </w:rPr>
  </w:style>
  <w:style w:type="paragraph" w:styleId="BalloonText">
    <w:name w:val="Balloon Text"/>
    <w:basedOn w:val="Normal"/>
    <w:link w:val="BalloonTextChar"/>
    <w:uiPriority w:val="99"/>
    <w:semiHidden/>
    <w:unhideWhenUsed/>
    <w:rsid w:val="00BF2E9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2E97"/>
    <w:rPr>
      <w:rFonts w:ascii="Segoe UI" w:hAnsi="Segoe UI" w:cs="Segoe UI"/>
      <w:sz w:val="18"/>
      <w:szCs w:val="18"/>
    </w:rPr>
  </w:style>
  <w:style w:type="character" w:styleId="spellingerror" w:customStyle="1">
    <w:name w:val="spellingerror"/>
    <w:basedOn w:val="DefaultParagraphFont"/>
    <w:rsid w:val="00D7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2042631650">
      <w:bodyDiv w:val="1"/>
      <w:marLeft w:val="0"/>
      <w:marRight w:val="0"/>
      <w:marTop w:val="0"/>
      <w:marBottom w:val="0"/>
      <w:divBdr>
        <w:top w:val="none" w:sz="0" w:space="0" w:color="auto"/>
        <w:left w:val="none" w:sz="0" w:space="0" w:color="auto"/>
        <w:bottom w:val="none" w:sz="0" w:space="0" w:color="auto"/>
        <w:right w:val="none" w:sz="0" w:space="0" w:color="auto"/>
      </w:divBdr>
      <w:divsChild>
        <w:div w:id="1236696907">
          <w:marLeft w:val="0"/>
          <w:marRight w:val="0"/>
          <w:marTop w:val="0"/>
          <w:marBottom w:val="0"/>
          <w:divBdr>
            <w:top w:val="none" w:sz="0" w:space="0" w:color="auto"/>
            <w:left w:val="none" w:sz="0" w:space="0" w:color="auto"/>
            <w:bottom w:val="none" w:sz="0" w:space="0" w:color="auto"/>
            <w:right w:val="none" w:sz="0" w:space="0" w:color="auto"/>
          </w:divBdr>
          <w:divsChild>
            <w:div w:id="1070661670">
              <w:marLeft w:val="0"/>
              <w:marRight w:val="0"/>
              <w:marTop w:val="0"/>
              <w:marBottom w:val="0"/>
              <w:divBdr>
                <w:top w:val="none" w:sz="0" w:space="0" w:color="auto"/>
                <w:left w:val="none" w:sz="0" w:space="0" w:color="auto"/>
                <w:bottom w:val="none" w:sz="0" w:space="0" w:color="auto"/>
                <w:right w:val="none" w:sz="0" w:space="0" w:color="auto"/>
              </w:divBdr>
            </w:div>
          </w:divsChild>
        </w:div>
        <w:div w:id="1584297027">
          <w:marLeft w:val="0"/>
          <w:marRight w:val="0"/>
          <w:marTop w:val="0"/>
          <w:marBottom w:val="0"/>
          <w:divBdr>
            <w:top w:val="none" w:sz="0" w:space="0" w:color="auto"/>
            <w:left w:val="none" w:sz="0" w:space="0" w:color="auto"/>
            <w:bottom w:val="none" w:sz="0" w:space="0" w:color="auto"/>
            <w:right w:val="none" w:sz="0" w:space="0" w:color="auto"/>
          </w:divBdr>
          <w:divsChild>
            <w:div w:id="505830906">
              <w:marLeft w:val="0"/>
              <w:marRight w:val="0"/>
              <w:marTop w:val="0"/>
              <w:marBottom w:val="0"/>
              <w:divBdr>
                <w:top w:val="none" w:sz="0" w:space="0" w:color="auto"/>
                <w:left w:val="none" w:sz="0" w:space="0" w:color="auto"/>
                <w:bottom w:val="none" w:sz="0" w:space="0" w:color="auto"/>
                <w:right w:val="none" w:sz="0" w:space="0" w:color="auto"/>
              </w:divBdr>
            </w:div>
          </w:divsChild>
        </w:div>
        <w:div w:id="90056162">
          <w:marLeft w:val="0"/>
          <w:marRight w:val="0"/>
          <w:marTop w:val="0"/>
          <w:marBottom w:val="0"/>
          <w:divBdr>
            <w:top w:val="none" w:sz="0" w:space="0" w:color="auto"/>
            <w:left w:val="none" w:sz="0" w:space="0" w:color="auto"/>
            <w:bottom w:val="none" w:sz="0" w:space="0" w:color="auto"/>
            <w:right w:val="none" w:sz="0" w:space="0" w:color="auto"/>
          </w:divBdr>
          <w:divsChild>
            <w:div w:id="1630473207">
              <w:marLeft w:val="0"/>
              <w:marRight w:val="0"/>
              <w:marTop w:val="0"/>
              <w:marBottom w:val="0"/>
              <w:divBdr>
                <w:top w:val="none" w:sz="0" w:space="0" w:color="auto"/>
                <w:left w:val="none" w:sz="0" w:space="0" w:color="auto"/>
                <w:bottom w:val="none" w:sz="0" w:space="0" w:color="auto"/>
                <w:right w:val="none" w:sz="0" w:space="0" w:color="auto"/>
              </w:divBdr>
            </w:div>
          </w:divsChild>
        </w:div>
        <w:div w:id="1087193969">
          <w:marLeft w:val="0"/>
          <w:marRight w:val="0"/>
          <w:marTop w:val="0"/>
          <w:marBottom w:val="0"/>
          <w:divBdr>
            <w:top w:val="none" w:sz="0" w:space="0" w:color="auto"/>
            <w:left w:val="none" w:sz="0" w:space="0" w:color="auto"/>
            <w:bottom w:val="none" w:sz="0" w:space="0" w:color="auto"/>
            <w:right w:val="none" w:sz="0" w:space="0" w:color="auto"/>
          </w:divBdr>
          <w:divsChild>
            <w:div w:id="1525485000">
              <w:marLeft w:val="0"/>
              <w:marRight w:val="0"/>
              <w:marTop w:val="0"/>
              <w:marBottom w:val="0"/>
              <w:divBdr>
                <w:top w:val="none" w:sz="0" w:space="0" w:color="auto"/>
                <w:left w:val="none" w:sz="0" w:space="0" w:color="auto"/>
                <w:bottom w:val="none" w:sz="0" w:space="0" w:color="auto"/>
                <w:right w:val="none" w:sz="0" w:space="0" w:color="auto"/>
              </w:divBdr>
            </w:div>
          </w:divsChild>
        </w:div>
        <w:div w:id="520363240">
          <w:marLeft w:val="0"/>
          <w:marRight w:val="0"/>
          <w:marTop w:val="0"/>
          <w:marBottom w:val="0"/>
          <w:divBdr>
            <w:top w:val="none" w:sz="0" w:space="0" w:color="auto"/>
            <w:left w:val="none" w:sz="0" w:space="0" w:color="auto"/>
            <w:bottom w:val="none" w:sz="0" w:space="0" w:color="auto"/>
            <w:right w:val="none" w:sz="0" w:space="0" w:color="auto"/>
          </w:divBdr>
          <w:divsChild>
            <w:div w:id="1574782071">
              <w:marLeft w:val="0"/>
              <w:marRight w:val="0"/>
              <w:marTop w:val="0"/>
              <w:marBottom w:val="0"/>
              <w:divBdr>
                <w:top w:val="none" w:sz="0" w:space="0" w:color="auto"/>
                <w:left w:val="none" w:sz="0" w:space="0" w:color="auto"/>
                <w:bottom w:val="none" w:sz="0" w:space="0" w:color="auto"/>
                <w:right w:val="none" w:sz="0" w:space="0" w:color="auto"/>
              </w:divBdr>
            </w:div>
          </w:divsChild>
        </w:div>
        <w:div w:id="2010406002">
          <w:marLeft w:val="0"/>
          <w:marRight w:val="0"/>
          <w:marTop w:val="0"/>
          <w:marBottom w:val="0"/>
          <w:divBdr>
            <w:top w:val="none" w:sz="0" w:space="0" w:color="auto"/>
            <w:left w:val="none" w:sz="0" w:space="0" w:color="auto"/>
            <w:bottom w:val="none" w:sz="0" w:space="0" w:color="auto"/>
            <w:right w:val="none" w:sz="0" w:space="0" w:color="auto"/>
          </w:divBdr>
          <w:divsChild>
            <w:div w:id="2142385846">
              <w:marLeft w:val="0"/>
              <w:marRight w:val="0"/>
              <w:marTop w:val="0"/>
              <w:marBottom w:val="0"/>
              <w:divBdr>
                <w:top w:val="none" w:sz="0" w:space="0" w:color="auto"/>
                <w:left w:val="none" w:sz="0" w:space="0" w:color="auto"/>
                <w:bottom w:val="none" w:sz="0" w:space="0" w:color="auto"/>
                <w:right w:val="none" w:sz="0" w:space="0" w:color="auto"/>
              </w:divBdr>
            </w:div>
          </w:divsChild>
        </w:div>
        <w:div w:id="839198514">
          <w:marLeft w:val="0"/>
          <w:marRight w:val="0"/>
          <w:marTop w:val="0"/>
          <w:marBottom w:val="0"/>
          <w:divBdr>
            <w:top w:val="none" w:sz="0" w:space="0" w:color="auto"/>
            <w:left w:val="none" w:sz="0" w:space="0" w:color="auto"/>
            <w:bottom w:val="none" w:sz="0" w:space="0" w:color="auto"/>
            <w:right w:val="none" w:sz="0" w:space="0" w:color="auto"/>
          </w:divBdr>
          <w:divsChild>
            <w:div w:id="681249721">
              <w:marLeft w:val="0"/>
              <w:marRight w:val="0"/>
              <w:marTop w:val="0"/>
              <w:marBottom w:val="0"/>
              <w:divBdr>
                <w:top w:val="none" w:sz="0" w:space="0" w:color="auto"/>
                <w:left w:val="none" w:sz="0" w:space="0" w:color="auto"/>
                <w:bottom w:val="none" w:sz="0" w:space="0" w:color="auto"/>
                <w:right w:val="none" w:sz="0" w:space="0" w:color="auto"/>
              </w:divBdr>
            </w:div>
          </w:divsChild>
        </w:div>
        <w:div w:id="1293898006">
          <w:marLeft w:val="0"/>
          <w:marRight w:val="0"/>
          <w:marTop w:val="0"/>
          <w:marBottom w:val="0"/>
          <w:divBdr>
            <w:top w:val="none" w:sz="0" w:space="0" w:color="auto"/>
            <w:left w:val="none" w:sz="0" w:space="0" w:color="auto"/>
            <w:bottom w:val="none" w:sz="0" w:space="0" w:color="auto"/>
            <w:right w:val="none" w:sz="0" w:space="0" w:color="auto"/>
          </w:divBdr>
          <w:divsChild>
            <w:div w:id="702024133">
              <w:marLeft w:val="0"/>
              <w:marRight w:val="0"/>
              <w:marTop w:val="0"/>
              <w:marBottom w:val="0"/>
              <w:divBdr>
                <w:top w:val="none" w:sz="0" w:space="0" w:color="auto"/>
                <w:left w:val="none" w:sz="0" w:space="0" w:color="auto"/>
                <w:bottom w:val="none" w:sz="0" w:space="0" w:color="auto"/>
                <w:right w:val="none" w:sz="0" w:space="0" w:color="auto"/>
              </w:divBdr>
            </w:div>
          </w:divsChild>
        </w:div>
        <w:div w:id="1503545444">
          <w:marLeft w:val="0"/>
          <w:marRight w:val="0"/>
          <w:marTop w:val="0"/>
          <w:marBottom w:val="0"/>
          <w:divBdr>
            <w:top w:val="none" w:sz="0" w:space="0" w:color="auto"/>
            <w:left w:val="none" w:sz="0" w:space="0" w:color="auto"/>
            <w:bottom w:val="none" w:sz="0" w:space="0" w:color="auto"/>
            <w:right w:val="none" w:sz="0" w:space="0" w:color="auto"/>
          </w:divBdr>
          <w:divsChild>
            <w:div w:id="1738088879">
              <w:marLeft w:val="0"/>
              <w:marRight w:val="0"/>
              <w:marTop w:val="0"/>
              <w:marBottom w:val="0"/>
              <w:divBdr>
                <w:top w:val="none" w:sz="0" w:space="0" w:color="auto"/>
                <w:left w:val="none" w:sz="0" w:space="0" w:color="auto"/>
                <w:bottom w:val="none" w:sz="0" w:space="0" w:color="auto"/>
                <w:right w:val="none" w:sz="0" w:space="0" w:color="auto"/>
              </w:divBdr>
            </w:div>
          </w:divsChild>
        </w:div>
        <w:div w:id="1334916200">
          <w:marLeft w:val="0"/>
          <w:marRight w:val="0"/>
          <w:marTop w:val="0"/>
          <w:marBottom w:val="0"/>
          <w:divBdr>
            <w:top w:val="none" w:sz="0" w:space="0" w:color="auto"/>
            <w:left w:val="none" w:sz="0" w:space="0" w:color="auto"/>
            <w:bottom w:val="none" w:sz="0" w:space="0" w:color="auto"/>
            <w:right w:val="none" w:sz="0" w:space="0" w:color="auto"/>
          </w:divBdr>
          <w:divsChild>
            <w:div w:id="1091896769">
              <w:marLeft w:val="0"/>
              <w:marRight w:val="0"/>
              <w:marTop w:val="0"/>
              <w:marBottom w:val="0"/>
              <w:divBdr>
                <w:top w:val="none" w:sz="0" w:space="0" w:color="auto"/>
                <w:left w:val="none" w:sz="0" w:space="0" w:color="auto"/>
                <w:bottom w:val="none" w:sz="0" w:space="0" w:color="auto"/>
                <w:right w:val="none" w:sz="0" w:space="0" w:color="auto"/>
              </w:divBdr>
            </w:div>
          </w:divsChild>
        </w:div>
        <w:div w:id="1580019288">
          <w:marLeft w:val="0"/>
          <w:marRight w:val="0"/>
          <w:marTop w:val="0"/>
          <w:marBottom w:val="0"/>
          <w:divBdr>
            <w:top w:val="none" w:sz="0" w:space="0" w:color="auto"/>
            <w:left w:val="none" w:sz="0" w:space="0" w:color="auto"/>
            <w:bottom w:val="none" w:sz="0" w:space="0" w:color="auto"/>
            <w:right w:val="none" w:sz="0" w:space="0" w:color="auto"/>
          </w:divBdr>
          <w:divsChild>
            <w:div w:id="229389965">
              <w:marLeft w:val="0"/>
              <w:marRight w:val="0"/>
              <w:marTop w:val="0"/>
              <w:marBottom w:val="0"/>
              <w:divBdr>
                <w:top w:val="none" w:sz="0" w:space="0" w:color="auto"/>
                <w:left w:val="none" w:sz="0" w:space="0" w:color="auto"/>
                <w:bottom w:val="none" w:sz="0" w:space="0" w:color="auto"/>
                <w:right w:val="none" w:sz="0" w:space="0" w:color="auto"/>
              </w:divBdr>
            </w:div>
          </w:divsChild>
        </w:div>
        <w:div w:id="1940792743">
          <w:marLeft w:val="0"/>
          <w:marRight w:val="0"/>
          <w:marTop w:val="0"/>
          <w:marBottom w:val="0"/>
          <w:divBdr>
            <w:top w:val="none" w:sz="0" w:space="0" w:color="auto"/>
            <w:left w:val="none" w:sz="0" w:space="0" w:color="auto"/>
            <w:bottom w:val="none" w:sz="0" w:space="0" w:color="auto"/>
            <w:right w:val="none" w:sz="0" w:space="0" w:color="auto"/>
          </w:divBdr>
          <w:divsChild>
            <w:div w:id="52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534fbfeab55408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3ab89e-02de-4584-a641-65aa1d48284f}"/>
      </w:docPartPr>
      <w:docPartBody>
        <w:p w14:paraId="38FA0B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7BF983490574484AF28B51EE852E9" ma:contentTypeVersion="12" ma:contentTypeDescription="Create a new document." ma:contentTypeScope="" ma:versionID="361330eb12573600bfbfa2cbbce979a4">
  <xsd:schema xmlns:xsd="http://www.w3.org/2001/XMLSchema" xmlns:xs="http://www.w3.org/2001/XMLSchema" xmlns:p="http://schemas.microsoft.com/office/2006/metadata/properties" xmlns:ns2="b514079a-91db-4d7a-ac49-273c04ba5994" xmlns:ns3="5ac25112-cab6-44de-b07e-7e33720ac079" targetNamespace="http://schemas.microsoft.com/office/2006/metadata/properties" ma:root="true" ma:fieldsID="7f34ab446d538b987c10658777263472" ns2:_="" ns3:_="">
    <xsd:import namespace="b514079a-91db-4d7a-ac49-273c04ba5994"/>
    <xsd:import namespace="5ac25112-cab6-44de-b07e-7e33720ac0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25112-cab6-44de-b07e-7e33720ac0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25112-cab6-44de-b07e-7e33720ac0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87F08-F527-4471-9B21-B44F6C28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5ac25112-cab6-44de-b07e-7e33720ac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92F25-F2D9-41B4-BCB3-326893E978A5}">
  <ds:schemaRefs>
    <ds:schemaRef ds:uri="http://schemas.microsoft.com/office/2006/metadata/properties"/>
    <ds:schemaRef ds:uri="http://schemas.microsoft.com/office/infopath/2007/PartnerControls"/>
    <ds:schemaRef ds:uri="5ac25112-cab6-44de-b07e-7e33720ac079"/>
  </ds:schemaRefs>
</ds:datastoreItem>
</file>

<file path=customXml/itemProps3.xml><?xml version="1.0" encoding="utf-8"?>
<ds:datastoreItem xmlns:ds="http://schemas.openxmlformats.org/officeDocument/2006/customXml" ds:itemID="{0EA902F5-955B-4609-91F4-D68F73B2CB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Salter</dc:creator>
  <keywords/>
  <dc:description/>
  <lastModifiedBy>Ashley Haddock</lastModifiedBy>
  <revision>79</revision>
  <dcterms:created xsi:type="dcterms:W3CDTF">2019-06-26T10:07:00.0000000Z</dcterms:created>
  <dcterms:modified xsi:type="dcterms:W3CDTF">2020-03-05T14:26:12.8626088Z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0x0101004BE7BF983490574484AF28B51EE852E9</vt:lpwstr>
  </property>
</Properties>
</file>